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6C4" w:rsidRPr="0008448B" w:rsidRDefault="000256C4">
      <w:pPr>
        <w:rPr>
          <w:rFonts w:asciiTheme="minorHAnsi" w:hAnsiTheme="minorHAnsi"/>
          <w:b/>
        </w:rPr>
      </w:pPr>
      <w:r w:rsidRPr="0008448B">
        <w:rPr>
          <w:rFonts w:asciiTheme="minorHAnsi" w:hAnsiTheme="minorHAnsi"/>
          <w:b/>
        </w:rPr>
        <w:t>APPENDIX 2-8: Malathion Species Sensitivity Distribution Analysis for Aquatic Invertebrates</w:t>
      </w:r>
    </w:p>
    <w:p w:rsidR="000256C4" w:rsidRPr="0008448B" w:rsidRDefault="000256C4">
      <w:pPr>
        <w:rPr>
          <w:rFonts w:asciiTheme="minorHAnsi" w:hAnsiTheme="minorHAnsi"/>
          <w:b/>
          <w:sz w:val="22"/>
          <w:szCs w:val="22"/>
        </w:rPr>
      </w:pPr>
    </w:p>
    <w:p w:rsidR="00BB6831" w:rsidRPr="0008448B" w:rsidRDefault="00BB6831">
      <w:pPr>
        <w:rPr>
          <w:rFonts w:asciiTheme="minorHAnsi" w:hAnsiTheme="minorHAnsi"/>
          <w:b/>
          <w:sz w:val="22"/>
          <w:szCs w:val="22"/>
        </w:rPr>
      </w:pPr>
      <w:r w:rsidRPr="0008448B">
        <w:rPr>
          <w:rFonts w:asciiTheme="minorHAnsi" w:hAnsiTheme="minorHAnsi"/>
          <w:b/>
          <w:sz w:val="22"/>
          <w:szCs w:val="22"/>
        </w:rPr>
        <w:t>Summary</w:t>
      </w:r>
    </w:p>
    <w:p w:rsidR="00491D73" w:rsidRPr="0008448B" w:rsidRDefault="00BB6831">
      <w:pPr>
        <w:rPr>
          <w:rFonts w:asciiTheme="minorHAnsi" w:hAnsiTheme="minorHAnsi"/>
          <w:sz w:val="22"/>
          <w:szCs w:val="22"/>
        </w:rPr>
      </w:pPr>
      <w:r w:rsidRPr="0008448B">
        <w:rPr>
          <w:rFonts w:asciiTheme="minorHAnsi" w:hAnsiTheme="minorHAnsi"/>
          <w:sz w:val="22"/>
          <w:szCs w:val="22"/>
        </w:rPr>
        <w:tab/>
      </w:r>
    </w:p>
    <w:p w:rsidR="00BB6831" w:rsidRPr="0008448B" w:rsidRDefault="00BB6831">
      <w:pPr>
        <w:rPr>
          <w:rFonts w:asciiTheme="minorHAnsi" w:hAnsiTheme="minorHAnsi"/>
          <w:sz w:val="22"/>
          <w:szCs w:val="22"/>
        </w:rPr>
      </w:pPr>
      <w:r w:rsidRPr="0008448B">
        <w:rPr>
          <w:rFonts w:asciiTheme="minorHAnsi" w:hAnsiTheme="minorHAnsi"/>
          <w:sz w:val="22"/>
          <w:szCs w:val="22"/>
        </w:rPr>
        <w:t xml:space="preserve">SSDs </w:t>
      </w:r>
      <w:r w:rsidR="00B64A8E" w:rsidRPr="0008448B">
        <w:rPr>
          <w:rFonts w:asciiTheme="minorHAnsi" w:hAnsiTheme="minorHAnsi"/>
          <w:sz w:val="22"/>
          <w:szCs w:val="22"/>
        </w:rPr>
        <w:t xml:space="preserve">were fit </w:t>
      </w:r>
      <w:r w:rsidRPr="0008448B">
        <w:rPr>
          <w:rFonts w:asciiTheme="minorHAnsi" w:hAnsiTheme="minorHAnsi"/>
          <w:sz w:val="22"/>
          <w:szCs w:val="22"/>
        </w:rPr>
        <w:t xml:space="preserve">to test results for aquatic invertebrates exposed to </w:t>
      </w:r>
      <w:r w:rsidR="001F18FF" w:rsidRPr="0008448B">
        <w:rPr>
          <w:rFonts w:asciiTheme="minorHAnsi" w:hAnsiTheme="minorHAnsi"/>
          <w:sz w:val="22"/>
          <w:szCs w:val="22"/>
        </w:rPr>
        <w:t>Malathion</w:t>
      </w:r>
      <w:r w:rsidRPr="0008448B">
        <w:rPr>
          <w:rFonts w:asciiTheme="minorHAnsi" w:hAnsiTheme="minorHAnsi"/>
          <w:sz w:val="22"/>
          <w:szCs w:val="22"/>
        </w:rPr>
        <w:t xml:space="preserve">.  </w:t>
      </w:r>
      <w:r w:rsidR="009F5C46">
        <w:rPr>
          <w:rFonts w:asciiTheme="minorHAnsi" w:hAnsiTheme="minorHAnsi"/>
          <w:sz w:val="22"/>
          <w:szCs w:val="22"/>
        </w:rPr>
        <w:t>Four</w:t>
      </w:r>
      <w:r w:rsidRPr="0008448B">
        <w:rPr>
          <w:rFonts w:asciiTheme="minorHAnsi" w:hAnsiTheme="minorHAnsi"/>
          <w:sz w:val="22"/>
          <w:szCs w:val="22"/>
        </w:rPr>
        <w:t xml:space="preserve"> distributions </w:t>
      </w:r>
      <w:r w:rsidR="00230AAA" w:rsidRPr="0008448B">
        <w:rPr>
          <w:rFonts w:asciiTheme="minorHAnsi" w:hAnsiTheme="minorHAnsi"/>
          <w:sz w:val="22"/>
          <w:szCs w:val="22"/>
        </w:rPr>
        <w:t xml:space="preserve">were used </w:t>
      </w:r>
      <w:r w:rsidR="009F5C46">
        <w:rPr>
          <w:rFonts w:asciiTheme="minorHAnsi" w:hAnsiTheme="minorHAnsi"/>
          <w:sz w:val="22"/>
          <w:szCs w:val="22"/>
        </w:rPr>
        <w:t>to fit the</w:t>
      </w:r>
      <w:r w:rsidR="00FF44E6" w:rsidRPr="0008448B">
        <w:rPr>
          <w:rFonts w:asciiTheme="minorHAnsi" w:hAnsiTheme="minorHAnsi"/>
          <w:sz w:val="22"/>
          <w:szCs w:val="22"/>
        </w:rPr>
        <w:t xml:space="preserve"> pooled results.  </w:t>
      </w:r>
      <w:r w:rsidR="00C47226">
        <w:rPr>
          <w:rFonts w:asciiTheme="minorHAnsi" w:hAnsiTheme="minorHAnsi"/>
          <w:sz w:val="22"/>
          <w:szCs w:val="22"/>
        </w:rPr>
        <w:t xml:space="preserve">There were not enough datapoints to generate separate freshwater and saltwater SSDs. </w:t>
      </w:r>
      <w:r w:rsidR="00FF44E6" w:rsidRPr="0008448B">
        <w:rPr>
          <w:rFonts w:asciiTheme="minorHAnsi" w:hAnsiTheme="minorHAnsi"/>
          <w:sz w:val="22"/>
          <w:szCs w:val="22"/>
        </w:rPr>
        <w:t xml:space="preserve">The gumbel distribution provided the best fit for the </w:t>
      </w:r>
      <w:r w:rsidR="009F5C46">
        <w:rPr>
          <w:rFonts w:asciiTheme="minorHAnsi" w:hAnsiTheme="minorHAnsi"/>
          <w:sz w:val="22"/>
          <w:szCs w:val="22"/>
        </w:rPr>
        <w:t>dataset</w:t>
      </w:r>
      <w:r w:rsidR="00EB4024" w:rsidRPr="0008448B">
        <w:rPr>
          <w:rFonts w:asciiTheme="minorHAnsi" w:hAnsiTheme="minorHAnsi"/>
          <w:sz w:val="22"/>
          <w:szCs w:val="22"/>
        </w:rPr>
        <w:t xml:space="preserve">. </w:t>
      </w:r>
      <w:r w:rsidR="009F5C46" w:rsidRPr="009F5C46">
        <w:rPr>
          <w:rFonts w:asciiTheme="minorHAnsi" w:hAnsiTheme="minorHAnsi"/>
          <w:sz w:val="22"/>
          <w:szCs w:val="22"/>
        </w:rPr>
        <w:t>T</w:t>
      </w:r>
      <w:bookmarkStart w:id="0" w:name="_GoBack"/>
      <w:bookmarkEnd w:id="0"/>
      <w:r w:rsidR="009F5C46" w:rsidRPr="009F5C46">
        <w:rPr>
          <w:rFonts w:asciiTheme="minorHAnsi" w:hAnsiTheme="minorHAnsi"/>
          <w:sz w:val="22"/>
          <w:szCs w:val="22"/>
        </w:rPr>
        <w:t>h</w:t>
      </w:r>
      <w:r w:rsidR="009F5C46">
        <w:rPr>
          <w:rFonts w:asciiTheme="minorHAnsi" w:hAnsiTheme="minorHAnsi"/>
          <w:sz w:val="22"/>
          <w:szCs w:val="22"/>
        </w:rPr>
        <w:t xml:space="preserve">is </w:t>
      </w:r>
      <w:r w:rsidR="009F5C46" w:rsidRPr="009F5C46">
        <w:rPr>
          <w:rFonts w:asciiTheme="minorHAnsi" w:hAnsiTheme="minorHAnsi"/>
          <w:sz w:val="22"/>
          <w:szCs w:val="22"/>
        </w:rPr>
        <w:t>decision w</w:t>
      </w:r>
      <w:r w:rsidR="009F5C46">
        <w:rPr>
          <w:rFonts w:asciiTheme="minorHAnsi" w:hAnsiTheme="minorHAnsi"/>
          <w:sz w:val="22"/>
          <w:szCs w:val="22"/>
        </w:rPr>
        <w:t>as</w:t>
      </w:r>
      <w:r w:rsidR="009F5C46" w:rsidRPr="009F5C46">
        <w:rPr>
          <w:rFonts w:asciiTheme="minorHAnsi" w:hAnsiTheme="minorHAnsi"/>
          <w:sz w:val="22"/>
          <w:szCs w:val="22"/>
        </w:rPr>
        <w:t xml:space="preserve"> based on the AICc weight, CVs and confidence limits for the different distributions. </w:t>
      </w:r>
      <w:r w:rsidR="009F5C46">
        <w:rPr>
          <w:rFonts w:asciiTheme="minorHAnsi" w:hAnsiTheme="minorHAnsi"/>
          <w:sz w:val="22"/>
          <w:szCs w:val="22"/>
        </w:rPr>
        <w:t>It</w:t>
      </w:r>
      <w:r w:rsidR="009F5C46" w:rsidRPr="009F5C46">
        <w:rPr>
          <w:rFonts w:asciiTheme="minorHAnsi" w:hAnsiTheme="minorHAnsi"/>
          <w:sz w:val="22"/>
          <w:szCs w:val="22"/>
        </w:rPr>
        <w:t xml:space="preserve"> is noted that the confidence limits are large for the HC05 and that the CV HC</w:t>
      </w:r>
      <w:r w:rsidR="009F5C46" w:rsidRPr="009F5C46">
        <w:rPr>
          <w:rFonts w:asciiTheme="minorHAnsi" w:hAnsiTheme="minorHAnsi"/>
          <w:sz w:val="22"/>
          <w:szCs w:val="22"/>
          <w:vertAlign w:val="subscript"/>
        </w:rPr>
        <w:t>05</w:t>
      </w:r>
      <w:r w:rsidR="009F5C46" w:rsidRPr="009F5C46">
        <w:rPr>
          <w:rFonts w:asciiTheme="minorHAnsi" w:hAnsiTheme="minorHAnsi"/>
          <w:sz w:val="22"/>
          <w:szCs w:val="22"/>
        </w:rPr>
        <w:t xml:space="preserve"> was greater than 1, therefore, there is uncertainty in this HC05 value. </w:t>
      </w:r>
      <w:r w:rsidR="00491D73" w:rsidRPr="0008448B">
        <w:rPr>
          <w:rFonts w:asciiTheme="minorHAnsi" w:hAnsiTheme="minorHAnsi"/>
          <w:sz w:val="22"/>
          <w:szCs w:val="22"/>
        </w:rPr>
        <w:t>S</w:t>
      </w:r>
      <w:r w:rsidR="00080D99" w:rsidRPr="0008448B">
        <w:rPr>
          <w:rFonts w:asciiTheme="minorHAnsi" w:hAnsiTheme="minorHAnsi"/>
          <w:sz w:val="22"/>
          <w:szCs w:val="22"/>
        </w:rPr>
        <w:t>ummary statistics from the fitted SSDs are provided below</w:t>
      </w:r>
      <w:r w:rsidR="00C206BC" w:rsidRPr="0008448B">
        <w:rPr>
          <w:rFonts w:asciiTheme="minorHAnsi" w:hAnsiTheme="minorHAnsi"/>
          <w:sz w:val="22"/>
          <w:szCs w:val="22"/>
        </w:rPr>
        <w:t xml:space="preserve"> in </w:t>
      </w:r>
      <w:r w:rsidR="004F66BC" w:rsidRPr="0008448B">
        <w:rPr>
          <w:rFonts w:asciiTheme="minorHAnsi" w:hAnsiTheme="minorHAnsi"/>
          <w:b/>
          <w:sz w:val="22"/>
          <w:szCs w:val="22"/>
        </w:rPr>
        <w:t xml:space="preserve">Table B </w:t>
      </w:r>
      <w:r w:rsidR="0073587D">
        <w:rPr>
          <w:rFonts w:asciiTheme="minorHAnsi" w:hAnsiTheme="minorHAnsi"/>
          <w:b/>
          <w:sz w:val="22"/>
          <w:szCs w:val="22"/>
        </w:rPr>
        <w:t>2-8.</w:t>
      </w:r>
      <w:r w:rsidR="00C206BC" w:rsidRPr="0008448B">
        <w:rPr>
          <w:rFonts w:asciiTheme="minorHAnsi" w:hAnsiTheme="minorHAnsi"/>
          <w:b/>
          <w:sz w:val="22"/>
          <w:szCs w:val="22"/>
        </w:rPr>
        <w:t>1</w:t>
      </w:r>
      <w:r w:rsidR="00C206BC" w:rsidRPr="0008448B">
        <w:rPr>
          <w:rFonts w:asciiTheme="minorHAnsi" w:hAnsiTheme="minorHAnsi"/>
          <w:sz w:val="22"/>
          <w:szCs w:val="22"/>
        </w:rPr>
        <w:t>.</w:t>
      </w:r>
      <w:r w:rsidR="00C20194" w:rsidRPr="0008448B">
        <w:rPr>
          <w:rFonts w:asciiTheme="minorHAnsi" w:hAnsiTheme="minorHAnsi"/>
          <w:sz w:val="22"/>
          <w:szCs w:val="22"/>
        </w:rPr>
        <w:t xml:space="preserve">  Detailed results follow.</w:t>
      </w:r>
    </w:p>
    <w:p w:rsidR="00080D99" w:rsidRPr="0008448B" w:rsidRDefault="00080D99">
      <w:pPr>
        <w:rPr>
          <w:rFonts w:asciiTheme="minorHAnsi" w:hAnsiTheme="minorHAnsi"/>
          <w:sz w:val="22"/>
          <w:szCs w:val="22"/>
        </w:rPr>
      </w:pPr>
    </w:p>
    <w:p w:rsidR="00FF36C2" w:rsidRPr="0008448B" w:rsidRDefault="004F66BC">
      <w:pPr>
        <w:rPr>
          <w:rFonts w:asciiTheme="minorHAnsi" w:hAnsiTheme="minorHAnsi"/>
          <w:b/>
          <w:sz w:val="22"/>
          <w:szCs w:val="22"/>
        </w:rPr>
      </w:pPr>
      <w:r w:rsidRPr="0008448B">
        <w:rPr>
          <w:rFonts w:asciiTheme="minorHAnsi" w:hAnsiTheme="minorHAnsi"/>
          <w:b/>
          <w:sz w:val="22"/>
          <w:szCs w:val="22"/>
        </w:rPr>
        <w:t xml:space="preserve">Table </w:t>
      </w:r>
      <w:r w:rsidR="0073587D" w:rsidRPr="0008448B">
        <w:rPr>
          <w:rFonts w:asciiTheme="minorHAnsi" w:hAnsiTheme="minorHAnsi"/>
          <w:b/>
          <w:sz w:val="22"/>
          <w:szCs w:val="22"/>
        </w:rPr>
        <w:t xml:space="preserve">B </w:t>
      </w:r>
      <w:r w:rsidR="0073587D">
        <w:rPr>
          <w:rFonts w:asciiTheme="minorHAnsi" w:hAnsiTheme="minorHAnsi"/>
          <w:b/>
          <w:sz w:val="22"/>
          <w:szCs w:val="22"/>
        </w:rPr>
        <w:t>2-8.</w:t>
      </w:r>
      <w:r w:rsidR="0073587D" w:rsidRPr="0008448B">
        <w:rPr>
          <w:rFonts w:asciiTheme="minorHAnsi" w:hAnsiTheme="minorHAnsi"/>
          <w:b/>
          <w:sz w:val="22"/>
          <w:szCs w:val="22"/>
        </w:rPr>
        <w:t>1</w:t>
      </w:r>
      <w:r w:rsidR="00FF36C2" w:rsidRPr="0008448B">
        <w:rPr>
          <w:rFonts w:asciiTheme="minorHAnsi" w:hAnsiTheme="minorHAnsi"/>
          <w:b/>
          <w:sz w:val="22"/>
          <w:szCs w:val="22"/>
        </w:rPr>
        <w:t xml:space="preserve">. Summary statistics for SSDs fit to </w:t>
      </w:r>
      <w:r w:rsidR="001F18FF" w:rsidRPr="0008448B">
        <w:rPr>
          <w:rFonts w:asciiTheme="minorHAnsi" w:hAnsiTheme="minorHAnsi"/>
          <w:b/>
          <w:sz w:val="22"/>
          <w:szCs w:val="22"/>
        </w:rPr>
        <w:t>Malathion</w:t>
      </w:r>
      <w:r w:rsidR="00FF36C2" w:rsidRPr="0008448B">
        <w:rPr>
          <w:rFonts w:asciiTheme="minorHAnsi" w:hAnsiTheme="minorHAnsi"/>
          <w:b/>
          <w:sz w:val="22"/>
          <w:szCs w:val="22"/>
        </w:rPr>
        <w:t xml:space="preserve"> test results</w:t>
      </w:r>
    </w:p>
    <w:tbl>
      <w:tblPr>
        <w:tblW w:w="6317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17"/>
        <w:gridCol w:w="1800"/>
      </w:tblGrid>
      <w:tr w:rsidR="009F5C46" w:rsidRPr="0008448B" w:rsidTr="009F5C46">
        <w:tc>
          <w:tcPr>
            <w:tcW w:w="4517" w:type="dxa"/>
            <w:tcBorders>
              <w:top w:val="single" w:sz="12" w:space="0" w:color="000000"/>
              <w:bottom w:val="single" w:sz="12" w:space="0" w:color="000000"/>
            </w:tcBorders>
          </w:tcPr>
          <w:p w:rsidR="009F5C46" w:rsidRPr="0008448B" w:rsidRDefault="009F5C46" w:rsidP="00230AAA">
            <w:pPr>
              <w:spacing w:line="240" w:lineRule="auto"/>
              <w:rPr>
                <w:rFonts w:asciiTheme="minorHAnsi" w:eastAsia="Calibri" w:hAnsiTheme="minorHAnsi"/>
                <w:color w:val="000000"/>
                <w:sz w:val="22"/>
                <w:szCs w:val="22"/>
              </w:rPr>
            </w:pPr>
            <w:r w:rsidRPr="0008448B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Statistic</w:t>
            </w:r>
          </w:p>
        </w:tc>
        <w:tc>
          <w:tcPr>
            <w:tcW w:w="1800" w:type="dxa"/>
            <w:tcBorders>
              <w:top w:val="single" w:sz="12" w:space="0" w:color="000000"/>
              <w:bottom w:val="single" w:sz="12" w:space="0" w:color="000000"/>
            </w:tcBorders>
          </w:tcPr>
          <w:p w:rsidR="009F5C46" w:rsidRPr="0008448B" w:rsidRDefault="009F5C46" w:rsidP="00230AAA">
            <w:pPr>
              <w:spacing w:line="240" w:lineRule="auto"/>
              <w:rPr>
                <w:rFonts w:asciiTheme="minorHAnsi" w:eastAsia="Calibri" w:hAnsiTheme="minorHAnsi"/>
                <w:color w:val="000000"/>
                <w:sz w:val="22"/>
                <w:szCs w:val="22"/>
              </w:rPr>
            </w:pPr>
            <w:r w:rsidRPr="0008448B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Pooled Results (FW and SW)</w:t>
            </w:r>
          </w:p>
        </w:tc>
      </w:tr>
      <w:tr w:rsidR="009F5C46" w:rsidRPr="0008448B" w:rsidTr="009F5C46">
        <w:tc>
          <w:tcPr>
            <w:tcW w:w="4517" w:type="dxa"/>
            <w:tcBorders>
              <w:top w:val="single" w:sz="12" w:space="0" w:color="000000"/>
            </w:tcBorders>
          </w:tcPr>
          <w:p w:rsidR="009F5C46" w:rsidRPr="0008448B" w:rsidRDefault="009F5C46" w:rsidP="00230AAA">
            <w:pPr>
              <w:spacing w:line="240" w:lineRule="auto"/>
              <w:rPr>
                <w:rFonts w:asciiTheme="minorHAnsi" w:eastAsia="Calibri" w:hAnsiTheme="minorHAnsi"/>
                <w:color w:val="000000"/>
                <w:sz w:val="22"/>
                <w:szCs w:val="22"/>
              </w:rPr>
            </w:pPr>
            <w:r w:rsidRPr="0008448B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Best Distribution (by AIC</w:t>
            </w:r>
            <w:r w:rsidRPr="0008448B">
              <w:rPr>
                <w:rFonts w:asciiTheme="minorHAnsi" w:eastAsia="Times New Roman" w:hAnsiTheme="minorHAnsi"/>
                <w:color w:val="000000"/>
                <w:sz w:val="22"/>
                <w:szCs w:val="22"/>
                <w:vertAlign w:val="subscript"/>
              </w:rPr>
              <w:t>c</w:t>
            </w:r>
            <w:r w:rsidRPr="0008448B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800" w:type="dxa"/>
            <w:tcBorders>
              <w:top w:val="single" w:sz="12" w:space="0" w:color="000000"/>
            </w:tcBorders>
          </w:tcPr>
          <w:p w:rsidR="009F5C46" w:rsidRPr="0008448B" w:rsidRDefault="009F5C46" w:rsidP="00230AAA">
            <w:pPr>
              <w:spacing w:line="240" w:lineRule="auto"/>
              <w:rPr>
                <w:rFonts w:asciiTheme="minorHAnsi" w:eastAsia="Calibr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/>
                <w:color w:val="000000"/>
                <w:sz w:val="22"/>
                <w:szCs w:val="22"/>
              </w:rPr>
              <w:t>Gumbel</w:t>
            </w:r>
          </w:p>
        </w:tc>
      </w:tr>
      <w:tr w:rsidR="009F5C46" w:rsidRPr="0008448B" w:rsidTr="009F5C46">
        <w:tc>
          <w:tcPr>
            <w:tcW w:w="4517" w:type="dxa"/>
          </w:tcPr>
          <w:p w:rsidR="009F5C46" w:rsidRPr="0008448B" w:rsidRDefault="009F5C46" w:rsidP="00230AAA">
            <w:pPr>
              <w:spacing w:line="240" w:lineRule="auto"/>
              <w:rPr>
                <w:rFonts w:asciiTheme="minorHAnsi" w:eastAsia="Calibri" w:hAnsiTheme="minorHAnsi"/>
                <w:color w:val="000000"/>
                <w:sz w:val="22"/>
                <w:szCs w:val="22"/>
              </w:rPr>
            </w:pPr>
            <w:r w:rsidRPr="0008448B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Goodness of fit P-value</w:t>
            </w:r>
          </w:p>
        </w:tc>
        <w:tc>
          <w:tcPr>
            <w:tcW w:w="1800" w:type="dxa"/>
          </w:tcPr>
          <w:p w:rsidR="009F5C46" w:rsidRPr="0008448B" w:rsidRDefault="009F5C46" w:rsidP="00A518BA">
            <w:pPr>
              <w:spacing w:line="240" w:lineRule="auto"/>
              <w:rPr>
                <w:rFonts w:asciiTheme="minorHAnsi" w:eastAsia="Calibr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/>
                <w:color w:val="000000"/>
                <w:sz w:val="22"/>
                <w:szCs w:val="22"/>
              </w:rPr>
              <w:t>0.52</w:t>
            </w:r>
          </w:p>
        </w:tc>
      </w:tr>
      <w:tr w:rsidR="009F5C46" w:rsidRPr="0008448B" w:rsidTr="009F5C46">
        <w:tc>
          <w:tcPr>
            <w:tcW w:w="4517" w:type="dxa"/>
          </w:tcPr>
          <w:p w:rsidR="009F5C46" w:rsidRPr="0008448B" w:rsidRDefault="009F5C46" w:rsidP="00230AAA">
            <w:pPr>
              <w:spacing w:line="240" w:lineRule="auto"/>
              <w:rPr>
                <w:rFonts w:asciiTheme="minorHAnsi" w:eastAsia="Calibri" w:hAnsiTheme="minorHAnsi"/>
                <w:color w:val="000000"/>
                <w:sz w:val="22"/>
                <w:szCs w:val="22"/>
              </w:rPr>
            </w:pPr>
            <w:r w:rsidRPr="0008448B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CV of the HC</w:t>
            </w:r>
            <w:r w:rsidRPr="0008448B">
              <w:rPr>
                <w:rFonts w:asciiTheme="minorHAnsi" w:eastAsia="Times New Roman" w:hAnsiTheme="minorHAnsi"/>
                <w:color w:val="000000"/>
                <w:sz w:val="22"/>
                <w:szCs w:val="22"/>
                <w:vertAlign w:val="subscript"/>
              </w:rPr>
              <w:t>05</w:t>
            </w:r>
          </w:p>
        </w:tc>
        <w:tc>
          <w:tcPr>
            <w:tcW w:w="1800" w:type="dxa"/>
          </w:tcPr>
          <w:p w:rsidR="009F5C46" w:rsidRPr="0008448B" w:rsidRDefault="009F5C46" w:rsidP="00230AAA">
            <w:pPr>
              <w:spacing w:line="240" w:lineRule="auto"/>
              <w:rPr>
                <w:rFonts w:asciiTheme="minorHAnsi" w:eastAsia="Calibr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/>
                <w:color w:val="000000"/>
                <w:sz w:val="22"/>
                <w:szCs w:val="22"/>
              </w:rPr>
              <w:t>3.3</w:t>
            </w:r>
          </w:p>
        </w:tc>
      </w:tr>
      <w:tr w:rsidR="009F5C46" w:rsidRPr="0008448B" w:rsidTr="009F5C46">
        <w:tc>
          <w:tcPr>
            <w:tcW w:w="4517" w:type="dxa"/>
          </w:tcPr>
          <w:p w:rsidR="009F5C46" w:rsidRPr="0008448B" w:rsidRDefault="009F5C46" w:rsidP="00230AAA">
            <w:pPr>
              <w:spacing w:line="240" w:lineRule="auto"/>
              <w:rPr>
                <w:rFonts w:asciiTheme="minorHAnsi" w:eastAsia="Calibri" w:hAnsiTheme="minorHAnsi"/>
                <w:color w:val="000000"/>
                <w:sz w:val="22"/>
                <w:szCs w:val="22"/>
              </w:rPr>
            </w:pPr>
            <w:r w:rsidRPr="0008448B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HC</w:t>
            </w:r>
            <w:r w:rsidRPr="0008448B">
              <w:rPr>
                <w:rFonts w:asciiTheme="minorHAnsi" w:eastAsia="Times New Roman" w:hAnsiTheme="minorHAnsi"/>
                <w:color w:val="000000"/>
                <w:sz w:val="22"/>
                <w:szCs w:val="22"/>
                <w:vertAlign w:val="subscript"/>
              </w:rPr>
              <w:t>05</w:t>
            </w:r>
          </w:p>
        </w:tc>
        <w:tc>
          <w:tcPr>
            <w:tcW w:w="1800" w:type="dxa"/>
          </w:tcPr>
          <w:p w:rsidR="009F5C46" w:rsidRPr="0008448B" w:rsidRDefault="009F5C46" w:rsidP="00230AAA">
            <w:pPr>
              <w:spacing w:line="240" w:lineRule="auto"/>
              <w:rPr>
                <w:rFonts w:asciiTheme="minorHAnsi" w:eastAsia="Calibr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/>
                <w:color w:val="000000"/>
                <w:sz w:val="22"/>
                <w:szCs w:val="22"/>
              </w:rPr>
              <w:t>1.0</w:t>
            </w:r>
          </w:p>
        </w:tc>
      </w:tr>
      <w:tr w:rsidR="009F5C46" w:rsidRPr="0008448B" w:rsidTr="009F5C46">
        <w:tc>
          <w:tcPr>
            <w:tcW w:w="4517" w:type="dxa"/>
          </w:tcPr>
          <w:p w:rsidR="009F5C46" w:rsidRPr="0008448B" w:rsidRDefault="009F5C46" w:rsidP="00230AAA">
            <w:pPr>
              <w:spacing w:line="240" w:lineRule="auto"/>
              <w:rPr>
                <w:rFonts w:asciiTheme="minorHAnsi" w:eastAsia="Calibri" w:hAnsiTheme="minorHAnsi"/>
                <w:color w:val="000000"/>
                <w:sz w:val="22"/>
                <w:szCs w:val="22"/>
              </w:rPr>
            </w:pPr>
            <w:r w:rsidRPr="0008448B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HC</w:t>
            </w:r>
            <w:r w:rsidRPr="0008448B">
              <w:rPr>
                <w:rFonts w:asciiTheme="minorHAnsi" w:eastAsia="Times New Roman" w:hAnsiTheme="minorHAnsi"/>
                <w:color w:val="000000"/>
                <w:sz w:val="22"/>
                <w:szCs w:val="22"/>
                <w:vertAlign w:val="subscript"/>
              </w:rPr>
              <w:t>10</w:t>
            </w:r>
          </w:p>
        </w:tc>
        <w:tc>
          <w:tcPr>
            <w:tcW w:w="1800" w:type="dxa"/>
          </w:tcPr>
          <w:p w:rsidR="009F5C46" w:rsidRPr="0008448B" w:rsidRDefault="009F5C46" w:rsidP="00230AAA">
            <w:pPr>
              <w:spacing w:line="240" w:lineRule="auto"/>
              <w:rPr>
                <w:rFonts w:asciiTheme="minorHAnsi" w:eastAsia="Calibr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/>
                <w:color w:val="000000"/>
                <w:sz w:val="22"/>
                <w:szCs w:val="22"/>
              </w:rPr>
              <w:t>1.7</w:t>
            </w:r>
          </w:p>
        </w:tc>
      </w:tr>
      <w:tr w:rsidR="009F5C46" w:rsidRPr="0008448B" w:rsidTr="009F5C46">
        <w:tc>
          <w:tcPr>
            <w:tcW w:w="4517" w:type="dxa"/>
          </w:tcPr>
          <w:p w:rsidR="009F5C46" w:rsidRPr="0008448B" w:rsidRDefault="009F5C46" w:rsidP="00230AAA">
            <w:pPr>
              <w:spacing w:line="240" w:lineRule="auto"/>
              <w:rPr>
                <w:rFonts w:asciiTheme="minorHAnsi" w:eastAsia="Calibri" w:hAnsiTheme="minorHAnsi"/>
                <w:color w:val="000000"/>
                <w:sz w:val="22"/>
                <w:szCs w:val="22"/>
              </w:rPr>
            </w:pPr>
            <w:r w:rsidRPr="0008448B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HC</w:t>
            </w:r>
            <w:r w:rsidRPr="0008448B">
              <w:rPr>
                <w:rFonts w:asciiTheme="minorHAnsi" w:eastAsia="Times New Roman" w:hAnsiTheme="minorHAnsi"/>
                <w:color w:val="000000"/>
                <w:sz w:val="22"/>
                <w:szCs w:val="22"/>
                <w:vertAlign w:val="subscript"/>
              </w:rPr>
              <w:t>50</w:t>
            </w:r>
          </w:p>
        </w:tc>
        <w:tc>
          <w:tcPr>
            <w:tcW w:w="1800" w:type="dxa"/>
          </w:tcPr>
          <w:p w:rsidR="009F5C46" w:rsidRPr="0008448B" w:rsidRDefault="009F5C46" w:rsidP="00230AAA">
            <w:pPr>
              <w:spacing w:line="240" w:lineRule="auto"/>
              <w:rPr>
                <w:rFonts w:asciiTheme="minorHAnsi" w:eastAsia="Calibr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/>
                <w:color w:val="000000"/>
                <w:sz w:val="22"/>
                <w:szCs w:val="22"/>
              </w:rPr>
              <w:t>17.7</w:t>
            </w:r>
          </w:p>
        </w:tc>
      </w:tr>
      <w:tr w:rsidR="009F5C46" w:rsidRPr="0008448B" w:rsidTr="009F5C46">
        <w:tc>
          <w:tcPr>
            <w:tcW w:w="4517" w:type="dxa"/>
          </w:tcPr>
          <w:p w:rsidR="009F5C46" w:rsidRPr="0008448B" w:rsidRDefault="009F5C46" w:rsidP="00230AAA">
            <w:pPr>
              <w:spacing w:line="240" w:lineRule="auto"/>
              <w:rPr>
                <w:rFonts w:asciiTheme="minorHAnsi" w:eastAsia="Calibri" w:hAnsiTheme="minorHAnsi"/>
                <w:color w:val="000000"/>
                <w:sz w:val="22"/>
                <w:szCs w:val="22"/>
              </w:rPr>
            </w:pPr>
            <w:r w:rsidRPr="0008448B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HC</w:t>
            </w:r>
            <w:r w:rsidRPr="0008448B">
              <w:rPr>
                <w:rFonts w:asciiTheme="minorHAnsi" w:eastAsia="Times New Roman" w:hAnsiTheme="minorHAnsi"/>
                <w:color w:val="000000"/>
                <w:sz w:val="22"/>
                <w:szCs w:val="22"/>
                <w:vertAlign w:val="subscript"/>
              </w:rPr>
              <w:t>90</w:t>
            </w:r>
          </w:p>
        </w:tc>
        <w:tc>
          <w:tcPr>
            <w:tcW w:w="1800" w:type="dxa"/>
          </w:tcPr>
          <w:p w:rsidR="009F5C46" w:rsidRPr="0008448B" w:rsidRDefault="009F5C46" w:rsidP="00230AAA">
            <w:pPr>
              <w:spacing w:line="240" w:lineRule="auto"/>
              <w:rPr>
                <w:rFonts w:asciiTheme="minorHAnsi" w:eastAsia="Calibr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/>
                <w:color w:val="000000"/>
                <w:sz w:val="22"/>
                <w:szCs w:val="22"/>
              </w:rPr>
              <w:t>684</w:t>
            </w:r>
          </w:p>
        </w:tc>
      </w:tr>
      <w:tr w:rsidR="009F5C46" w:rsidRPr="0008448B" w:rsidTr="009F5C46">
        <w:tc>
          <w:tcPr>
            <w:tcW w:w="4517" w:type="dxa"/>
          </w:tcPr>
          <w:p w:rsidR="009F5C46" w:rsidRPr="0008448B" w:rsidRDefault="009F5C46" w:rsidP="00230AAA">
            <w:pPr>
              <w:spacing w:line="240" w:lineRule="auto"/>
              <w:rPr>
                <w:rFonts w:asciiTheme="minorHAnsi" w:eastAsia="Calibri" w:hAnsiTheme="minorHAnsi"/>
                <w:color w:val="000000"/>
                <w:sz w:val="22"/>
                <w:szCs w:val="22"/>
              </w:rPr>
            </w:pPr>
            <w:r w:rsidRPr="0008448B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HC</w:t>
            </w:r>
            <w:r w:rsidRPr="0008448B">
              <w:rPr>
                <w:rFonts w:asciiTheme="minorHAnsi" w:eastAsia="Times New Roman" w:hAnsiTheme="minorHAnsi"/>
                <w:color w:val="000000"/>
                <w:sz w:val="22"/>
                <w:szCs w:val="22"/>
                <w:vertAlign w:val="subscript"/>
              </w:rPr>
              <w:t>95</w:t>
            </w:r>
          </w:p>
        </w:tc>
        <w:tc>
          <w:tcPr>
            <w:tcW w:w="1800" w:type="dxa"/>
          </w:tcPr>
          <w:p w:rsidR="009F5C46" w:rsidRPr="0008448B" w:rsidRDefault="009F5C46" w:rsidP="00230AAA">
            <w:pPr>
              <w:spacing w:line="240" w:lineRule="auto"/>
              <w:rPr>
                <w:rFonts w:asciiTheme="minorHAnsi" w:eastAsia="Calibr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/>
                <w:color w:val="000000"/>
                <w:sz w:val="22"/>
                <w:szCs w:val="22"/>
              </w:rPr>
              <w:t>2766</w:t>
            </w:r>
          </w:p>
        </w:tc>
      </w:tr>
      <w:tr w:rsidR="009F5C46" w:rsidRPr="0008448B" w:rsidTr="009F5C46">
        <w:tc>
          <w:tcPr>
            <w:tcW w:w="4517" w:type="dxa"/>
          </w:tcPr>
          <w:p w:rsidR="009F5C46" w:rsidRPr="0008448B" w:rsidRDefault="009F5C46" w:rsidP="00DA31B6">
            <w:pPr>
              <w:spacing w:line="240" w:lineRule="auto"/>
              <w:rPr>
                <w:rFonts w:asciiTheme="minorHAnsi" w:eastAsia="Calibri" w:hAnsiTheme="minorHAnsi"/>
                <w:color w:val="000000"/>
                <w:sz w:val="22"/>
                <w:szCs w:val="22"/>
                <w:vertAlign w:val="superscript"/>
              </w:rPr>
            </w:pPr>
            <w:r w:rsidRPr="0008448B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Mortality Threshold (slope)</w:t>
            </w:r>
            <w:r w:rsidRPr="0008448B">
              <w:rPr>
                <w:rFonts w:asciiTheme="minorHAnsi" w:eastAsia="Times New Roman" w:hAnsiTheme="minorHAnsi"/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00" w:type="dxa"/>
          </w:tcPr>
          <w:p w:rsidR="009F5C46" w:rsidRPr="0008448B" w:rsidRDefault="009F5C46" w:rsidP="00230AAA">
            <w:pPr>
              <w:spacing w:line="240" w:lineRule="auto"/>
              <w:rPr>
                <w:rFonts w:asciiTheme="minorHAnsi" w:eastAsia="Calibr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/>
                <w:color w:val="000000"/>
                <w:sz w:val="22"/>
                <w:szCs w:val="22"/>
              </w:rPr>
              <w:t>0.091</w:t>
            </w:r>
          </w:p>
        </w:tc>
      </w:tr>
      <w:tr w:rsidR="009F5C46" w:rsidRPr="0008448B" w:rsidTr="009F5C46">
        <w:tc>
          <w:tcPr>
            <w:tcW w:w="4517" w:type="dxa"/>
            <w:tcBorders>
              <w:bottom w:val="single" w:sz="12" w:space="0" w:color="000000"/>
            </w:tcBorders>
          </w:tcPr>
          <w:p w:rsidR="009F5C46" w:rsidRPr="0008448B" w:rsidRDefault="009F5C46" w:rsidP="00DA31B6">
            <w:pPr>
              <w:spacing w:line="240" w:lineRule="auto"/>
              <w:rPr>
                <w:rFonts w:asciiTheme="minorHAnsi" w:eastAsia="Calibri" w:hAnsiTheme="minorHAnsi"/>
                <w:color w:val="000000"/>
                <w:sz w:val="22"/>
                <w:szCs w:val="22"/>
              </w:rPr>
            </w:pPr>
            <w:r w:rsidRPr="0008448B">
              <w:rPr>
                <w:rFonts w:asciiTheme="minorHAnsi" w:eastAsia="Times New Roman" w:hAnsiTheme="minorHAnsi"/>
                <w:color w:val="000000"/>
                <w:sz w:val="22"/>
                <w:szCs w:val="22"/>
              </w:rPr>
              <w:t>Indirect Effects Threshold (slope)</w:t>
            </w:r>
          </w:p>
        </w:tc>
        <w:tc>
          <w:tcPr>
            <w:tcW w:w="1800" w:type="dxa"/>
            <w:tcBorders>
              <w:bottom w:val="single" w:sz="12" w:space="0" w:color="000000"/>
            </w:tcBorders>
          </w:tcPr>
          <w:p w:rsidR="009F5C46" w:rsidRPr="0008448B" w:rsidRDefault="009F5C46" w:rsidP="00230AAA">
            <w:pPr>
              <w:spacing w:line="240" w:lineRule="auto"/>
              <w:rPr>
                <w:rFonts w:asciiTheme="minorHAnsi" w:eastAsia="Calibr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/>
                <w:color w:val="000000"/>
                <w:sz w:val="22"/>
                <w:szCs w:val="22"/>
              </w:rPr>
              <w:t>0.54</w:t>
            </w:r>
          </w:p>
        </w:tc>
      </w:tr>
    </w:tbl>
    <w:p w:rsidR="00080D99" w:rsidRPr="0008448B" w:rsidRDefault="00DA31B6" w:rsidP="00C47226">
      <w:pPr>
        <w:spacing w:line="240" w:lineRule="auto"/>
        <w:rPr>
          <w:rFonts w:asciiTheme="minorHAnsi" w:hAnsiTheme="minorHAnsi"/>
          <w:sz w:val="22"/>
          <w:szCs w:val="22"/>
        </w:rPr>
      </w:pPr>
      <w:r w:rsidRPr="0008448B">
        <w:rPr>
          <w:rFonts w:asciiTheme="minorHAnsi" w:eastAsia="Calibri" w:hAnsiTheme="minorHAnsi"/>
          <w:color w:val="000000"/>
          <w:sz w:val="22"/>
          <w:szCs w:val="22"/>
          <w:vertAlign w:val="superscript"/>
        </w:rPr>
        <w:t xml:space="preserve">1 </w:t>
      </w:r>
      <w:r w:rsidRPr="0008448B">
        <w:rPr>
          <w:rFonts w:asciiTheme="minorHAnsi" w:eastAsia="Calibri" w:hAnsiTheme="minorHAnsi"/>
          <w:color w:val="000000"/>
          <w:sz w:val="22"/>
          <w:szCs w:val="22"/>
        </w:rPr>
        <w:t xml:space="preserve"> Slope = default slope of 4.5 used as no slope was avail</w:t>
      </w:r>
      <w:r w:rsidR="00C47226">
        <w:rPr>
          <w:rFonts w:asciiTheme="minorHAnsi" w:eastAsia="Calibri" w:hAnsiTheme="minorHAnsi"/>
          <w:color w:val="000000"/>
          <w:sz w:val="22"/>
          <w:szCs w:val="22"/>
        </w:rPr>
        <w:t>able for species near the HC05.</w:t>
      </w:r>
    </w:p>
    <w:p w:rsidR="00C47226" w:rsidRDefault="00C47226">
      <w:pPr>
        <w:rPr>
          <w:rFonts w:asciiTheme="minorHAnsi" w:hAnsiTheme="minorHAnsi"/>
          <w:b/>
          <w:sz w:val="22"/>
          <w:szCs w:val="22"/>
        </w:rPr>
      </w:pPr>
    </w:p>
    <w:p w:rsidR="00EB4A67" w:rsidRPr="0008448B" w:rsidRDefault="00EB4A67">
      <w:pPr>
        <w:rPr>
          <w:rFonts w:asciiTheme="minorHAnsi" w:hAnsiTheme="minorHAnsi"/>
          <w:b/>
          <w:sz w:val="22"/>
          <w:szCs w:val="22"/>
        </w:rPr>
      </w:pPr>
      <w:r w:rsidRPr="0008448B">
        <w:rPr>
          <w:rFonts w:asciiTheme="minorHAnsi" w:hAnsiTheme="minorHAnsi"/>
          <w:b/>
          <w:sz w:val="22"/>
          <w:szCs w:val="22"/>
        </w:rPr>
        <w:t>I. Data</w:t>
      </w:r>
    </w:p>
    <w:p w:rsidR="00EB4A67" w:rsidRPr="0008448B" w:rsidRDefault="00EB4A67" w:rsidP="00EB4A67">
      <w:pPr>
        <w:rPr>
          <w:rFonts w:asciiTheme="minorHAnsi" w:hAnsiTheme="minorHAnsi"/>
          <w:sz w:val="22"/>
          <w:szCs w:val="22"/>
        </w:rPr>
      </w:pPr>
    </w:p>
    <w:p w:rsidR="00230AAA" w:rsidRPr="0008448B" w:rsidRDefault="00230AAA" w:rsidP="00EB4A67">
      <w:pPr>
        <w:rPr>
          <w:rFonts w:asciiTheme="minorHAnsi" w:hAnsiTheme="minorHAnsi"/>
          <w:sz w:val="22"/>
          <w:szCs w:val="22"/>
        </w:rPr>
      </w:pPr>
      <w:r w:rsidRPr="0008448B">
        <w:rPr>
          <w:rFonts w:asciiTheme="minorHAnsi" w:hAnsiTheme="minorHAnsi"/>
          <w:sz w:val="22"/>
          <w:szCs w:val="22"/>
        </w:rPr>
        <w:t>Available aquatic invertebrate toxicity data for SSDs included studies with a 48 or 96 hour duration and used technical grade active ingredient</w:t>
      </w:r>
      <w:r w:rsidR="009F5C46">
        <w:rPr>
          <w:rFonts w:asciiTheme="minorHAnsi" w:hAnsiTheme="minorHAnsi"/>
          <w:sz w:val="22"/>
          <w:szCs w:val="22"/>
        </w:rPr>
        <w:t xml:space="preserve"> with known source and therefore known impurity profile.</w:t>
      </w:r>
      <w:r w:rsidRPr="0008448B">
        <w:rPr>
          <w:rFonts w:asciiTheme="minorHAnsi" w:hAnsiTheme="minorHAnsi"/>
          <w:sz w:val="22"/>
          <w:szCs w:val="22"/>
        </w:rPr>
        <w:t xml:space="preserve">  </w:t>
      </w:r>
    </w:p>
    <w:p w:rsidR="00230AAA" w:rsidRPr="0008448B" w:rsidRDefault="00230AAA" w:rsidP="00EB4A67">
      <w:pPr>
        <w:rPr>
          <w:rFonts w:asciiTheme="minorHAnsi" w:hAnsiTheme="minorHAnsi"/>
          <w:sz w:val="22"/>
          <w:szCs w:val="22"/>
        </w:rPr>
      </w:pPr>
      <w:r w:rsidRPr="0008448B">
        <w:rPr>
          <w:rFonts w:asciiTheme="minorHAnsi" w:hAnsiTheme="minorHAnsi"/>
          <w:sz w:val="22"/>
          <w:szCs w:val="22"/>
        </w:rPr>
        <w:t xml:space="preserve"> </w:t>
      </w:r>
    </w:p>
    <w:p w:rsidR="004E2B54" w:rsidRPr="0008448B" w:rsidRDefault="00230AAA" w:rsidP="00EB4A67">
      <w:pPr>
        <w:rPr>
          <w:rFonts w:asciiTheme="minorHAnsi" w:hAnsiTheme="minorHAnsi"/>
          <w:sz w:val="22"/>
          <w:szCs w:val="22"/>
        </w:rPr>
      </w:pPr>
      <w:r w:rsidRPr="0008448B">
        <w:rPr>
          <w:rFonts w:asciiTheme="minorHAnsi" w:hAnsiTheme="minorHAnsi"/>
          <w:sz w:val="22"/>
          <w:szCs w:val="22"/>
        </w:rPr>
        <w:t>The dataset</w:t>
      </w:r>
      <w:r w:rsidR="004E2B54" w:rsidRPr="0008448B">
        <w:rPr>
          <w:rFonts w:asciiTheme="minorHAnsi" w:hAnsiTheme="minorHAnsi"/>
          <w:sz w:val="22"/>
          <w:szCs w:val="22"/>
        </w:rPr>
        <w:t xml:space="preserve"> contained </w:t>
      </w:r>
      <w:r w:rsidR="009F5C46">
        <w:rPr>
          <w:rFonts w:asciiTheme="minorHAnsi" w:hAnsiTheme="minorHAnsi"/>
          <w:sz w:val="22"/>
          <w:szCs w:val="22"/>
        </w:rPr>
        <w:t>6</w:t>
      </w:r>
      <w:r w:rsidR="004E2B54" w:rsidRPr="0008448B">
        <w:rPr>
          <w:rFonts w:asciiTheme="minorHAnsi" w:hAnsiTheme="minorHAnsi"/>
          <w:sz w:val="22"/>
          <w:szCs w:val="22"/>
        </w:rPr>
        <w:t xml:space="preserve"> species</w:t>
      </w:r>
      <w:r w:rsidR="00C03595" w:rsidRPr="0008448B">
        <w:rPr>
          <w:rFonts w:asciiTheme="minorHAnsi" w:hAnsiTheme="minorHAnsi"/>
          <w:sz w:val="22"/>
          <w:szCs w:val="22"/>
        </w:rPr>
        <w:t xml:space="preserve"> (</w:t>
      </w:r>
      <w:r w:rsidR="00C03595" w:rsidRPr="0008448B">
        <w:rPr>
          <w:rFonts w:asciiTheme="minorHAnsi" w:hAnsiTheme="minorHAnsi"/>
          <w:b/>
          <w:sz w:val="22"/>
          <w:szCs w:val="22"/>
        </w:rPr>
        <w:t>Table</w:t>
      </w:r>
      <w:r w:rsidR="0008448B" w:rsidRPr="0008448B">
        <w:rPr>
          <w:rFonts w:asciiTheme="minorHAnsi" w:hAnsiTheme="minorHAnsi"/>
          <w:b/>
          <w:sz w:val="22"/>
          <w:szCs w:val="22"/>
        </w:rPr>
        <w:t xml:space="preserve"> </w:t>
      </w:r>
      <w:r w:rsidR="0073587D" w:rsidRPr="0008448B">
        <w:rPr>
          <w:rFonts w:asciiTheme="minorHAnsi" w:hAnsiTheme="minorHAnsi"/>
          <w:b/>
          <w:sz w:val="22"/>
          <w:szCs w:val="22"/>
        </w:rPr>
        <w:t xml:space="preserve">B </w:t>
      </w:r>
      <w:r w:rsidR="0073587D">
        <w:rPr>
          <w:rFonts w:asciiTheme="minorHAnsi" w:hAnsiTheme="minorHAnsi"/>
          <w:b/>
          <w:sz w:val="22"/>
          <w:szCs w:val="22"/>
        </w:rPr>
        <w:t>2-8.2</w:t>
      </w:r>
      <w:r w:rsidR="00C03595" w:rsidRPr="0008448B">
        <w:rPr>
          <w:rFonts w:asciiTheme="minorHAnsi" w:hAnsiTheme="minorHAnsi"/>
          <w:sz w:val="22"/>
          <w:szCs w:val="22"/>
        </w:rPr>
        <w:t>)</w:t>
      </w:r>
      <w:r w:rsidR="004E2B54" w:rsidRPr="0008448B">
        <w:rPr>
          <w:rFonts w:asciiTheme="minorHAnsi" w:hAnsiTheme="minorHAnsi"/>
          <w:sz w:val="22"/>
          <w:szCs w:val="22"/>
        </w:rPr>
        <w:t>.</w:t>
      </w:r>
    </w:p>
    <w:p w:rsidR="008A14A7" w:rsidRPr="0008448B" w:rsidRDefault="008A14A7" w:rsidP="00EB4A67">
      <w:pPr>
        <w:rPr>
          <w:rFonts w:asciiTheme="minorHAnsi" w:hAnsiTheme="minorHAnsi"/>
          <w:sz w:val="22"/>
          <w:szCs w:val="22"/>
        </w:rPr>
      </w:pPr>
    </w:p>
    <w:p w:rsidR="001068EB" w:rsidRPr="0008448B" w:rsidRDefault="004F66BC" w:rsidP="00EB4A67">
      <w:pPr>
        <w:rPr>
          <w:rFonts w:asciiTheme="minorHAnsi" w:hAnsiTheme="minorHAnsi"/>
          <w:b/>
          <w:sz w:val="22"/>
          <w:szCs w:val="22"/>
        </w:rPr>
      </w:pPr>
      <w:r w:rsidRPr="0008448B">
        <w:rPr>
          <w:rFonts w:asciiTheme="minorHAnsi" w:hAnsiTheme="minorHAnsi"/>
          <w:b/>
          <w:sz w:val="22"/>
          <w:szCs w:val="22"/>
        </w:rPr>
        <w:t xml:space="preserve">Table </w:t>
      </w:r>
      <w:r w:rsidR="0073587D" w:rsidRPr="0008448B">
        <w:rPr>
          <w:rFonts w:asciiTheme="minorHAnsi" w:hAnsiTheme="minorHAnsi"/>
          <w:b/>
          <w:sz w:val="22"/>
          <w:szCs w:val="22"/>
        </w:rPr>
        <w:t xml:space="preserve">B </w:t>
      </w:r>
      <w:r w:rsidR="0073587D">
        <w:rPr>
          <w:rFonts w:asciiTheme="minorHAnsi" w:hAnsiTheme="minorHAnsi"/>
          <w:b/>
          <w:sz w:val="22"/>
          <w:szCs w:val="22"/>
        </w:rPr>
        <w:t>2-8.2</w:t>
      </w:r>
      <w:r w:rsidR="001068EB" w:rsidRPr="0008448B">
        <w:rPr>
          <w:rFonts w:asciiTheme="minorHAnsi" w:hAnsiTheme="minorHAnsi"/>
          <w:b/>
          <w:sz w:val="22"/>
          <w:szCs w:val="22"/>
        </w:rPr>
        <w:t xml:space="preserve">. Distribution of test results available for </w:t>
      </w:r>
      <w:r w:rsidR="001F18FF" w:rsidRPr="0008448B">
        <w:rPr>
          <w:rFonts w:asciiTheme="minorHAnsi" w:hAnsiTheme="minorHAnsi"/>
          <w:b/>
          <w:sz w:val="22"/>
          <w:szCs w:val="22"/>
        </w:rPr>
        <w:t>Malathion</w:t>
      </w:r>
    </w:p>
    <w:tbl>
      <w:tblPr>
        <w:tblW w:w="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774"/>
        <w:gridCol w:w="1109"/>
      </w:tblGrid>
      <w:tr w:rsidR="009F5C46" w:rsidRPr="009F5C46" w:rsidTr="009F5C46">
        <w:trPr>
          <w:trHeight w:val="300"/>
        </w:trPr>
        <w:tc>
          <w:tcPr>
            <w:tcW w:w="2875" w:type="dxa"/>
            <w:shd w:val="clear" w:color="auto" w:fill="D9D9D9" w:themeFill="background1" w:themeFillShade="D9"/>
            <w:noWrap/>
            <w:vAlign w:val="bottom"/>
            <w:hideMark/>
          </w:tcPr>
          <w:p w:rsidR="009F5C46" w:rsidRPr="009F5C46" w:rsidRDefault="009F5C46" w:rsidP="009F5C46">
            <w:pPr>
              <w:spacing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F5C46">
              <w:rPr>
                <w:rFonts w:ascii="Calibri" w:eastAsia="Times New Roman" w:hAnsi="Calibri"/>
                <w:color w:val="000000"/>
                <w:sz w:val="22"/>
                <w:szCs w:val="22"/>
              </w:rPr>
              <w:t>Species</w:t>
            </w:r>
          </w:p>
        </w:tc>
        <w:tc>
          <w:tcPr>
            <w:tcW w:w="612" w:type="dxa"/>
            <w:shd w:val="clear" w:color="auto" w:fill="D9D9D9" w:themeFill="background1" w:themeFillShade="D9"/>
            <w:noWrap/>
            <w:vAlign w:val="bottom"/>
            <w:hideMark/>
          </w:tcPr>
          <w:p w:rsidR="009F5C46" w:rsidRPr="009F5C46" w:rsidRDefault="009F5C46" w:rsidP="009F5C46">
            <w:pPr>
              <w:spacing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F5C46">
              <w:rPr>
                <w:rFonts w:ascii="Calibri" w:eastAsia="Times New Roman" w:hAnsi="Calibri"/>
                <w:color w:val="000000"/>
                <w:sz w:val="22"/>
                <w:szCs w:val="22"/>
              </w:rPr>
              <w:t>LC50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</w:rPr>
              <w:t xml:space="preserve"> (ug/L)</w:t>
            </w:r>
          </w:p>
        </w:tc>
        <w:tc>
          <w:tcPr>
            <w:tcW w:w="1109" w:type="dxa"/>
            <w:shd w:val="clear" w:color="auto" w:fill="D9D9D9" w:themeFill="background1" w:themeFillShade="D9"/>
            <w:noWrap/>
            <w:vAlign w:val="bottom"/>
            <w:hideMark/>
          </w:tcPr>
          <w:p w:rsidR="009F5C46" w:rsidRPr="009F5C46" w:rsidRDefault="009F5C46" w:rsidP="009F5C46">
            <w:pPr>
              <w:spacing w:line="240" w:lineRule="auto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F5C46">
              <w:rPr>
                <w:rFonts w:ascii="Calibri" w:eastAsia="Times New Roman" w:hAnsi="Calibri"/>
                <w:color w:val="000000"/>
                <w:sz w:val="22"/>
                <w:szCs w:val="22"/>
              </w:rPr>
              <w:t>MRID</w:t>
            </w:r>
          </w:p>
        </w:tc>
      </w:tr>
      <w:tr w:rsidR="009F5C46" w:rsidRPr="009F5C46" w:rsidTr="009F5C46">
        <w:trPr>
          <w:trHeight w:val="300"/>
        </w:trPr>
        <w:tc>
          <w:tcPr>
            <w:tcW w:w="2875" w:type="dxa"/>
            <w:shd w:val="clear" w:color="auto" w:fill="auto"/>
            <w:noWrap/>
            <w:vAlign w:val="bottom"/>
            <w:hideMark/>
          </w:tcPr>
          <w:p w:rsidR="009F5C46" w:rsidRPr="009F5C46" w:rsidRDefault="009F5C46" w:rsidP="009F5C46">
            <w:pPr>
              <w:spacing w:line="240" w:lineRule="auto"/>
              <w:rPr>
                <w:rFonts w:ascii="Calibri" w:eastAsia="Times New Roman" w:hAnsi="Calibri"/>
                <w:i/>
                <w:color w:val="000000"/>
                <w:sz w:val="22"/>
                <w:szCs w:val="22"/>
              </w:rPr>
            </w:pPr>
            <w:r w:rsidRPr="009F5C46">
              <w:rPr>
                <w:rFonts w:ascii="Calibri" w:eastAsia="Times New Roman" w:hAnsi="Calibri"/>
                <w:i/>
                <w:color w:val="000000"/>
                <w:sz w:val="22"/>
                <w:szCs w:val="22"/>
              </w:rPr>
              <w:t>Gammarus pseudolimnaeus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9F5C46" w:rsidRPr="009F5C46" w:rsidRDefault="009F5C46" w:rsidP="009F5C46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F5C46">
              <w:rPr>
                <w:rFonts w:ascii="Calibri" w:eastAsia="Times New Roman" w:hAnsi="Calibri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9F5C46" w:rsidRPr="009F5C46" w:rsidRDefault="009F5C46" w:rsidP="009F5C46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F5C46">
              <w:rPr>
                <w:rFonts w:ascii="Calibri" w:eastAsia="Times New Roman" w:hAnsi="Calibri"/>
                <w:color w:val="000000"/>
                <w:sz w:val="22"/>
                <w:szCs w:val="22"/>
              </w:rPr>
              <w:t>49389402</w:t>
            </w:r>
          </w:p>
        </w:tc>
      </w:tr>
      <w:tr w:rsidR="009F5C46" w:rsidRPr="009F5C46" w:rsidTr="009F5C46">
        <w:trPr>
          <w:trHeight w:val="300"/>
        </w:trPr>
        <w:tc>
          <w:tcPr>
            <w:tcW w:w="2875" w:type="dxa"/>
            <w:shd w:val="clear" w:color="auto" w:fill="auto"/>
            <w:noWrap/>
            <w:vAlign w:val="bottom"/>
            <w:hideMark/>
          </w:tcPr>
          <w:p w:rsidR="009F5C46" w:rsidRPr="009F5C46" w:rsidRDefault="009F5C46" w:rsidP="009F5C46">
            <w:pPr>
              <w:spacing w:line="240" w:lineRule="auto"/>
              <w:rPr>
                <w:rFonts w:ascii="Calibri" w:eastAsia="Times New Roman" w:hAnsi="Calibri"/>
                <w:i/>
                <w:color w:val="000000"/>
                <w:sz w:val="22"/>
                <w:szCs w:val="22"/>
              </w:rPr>
            </w:pPr>
            <w:r w:rsidRPr="009F5C46">
              <w:rPr>
                <w:rFonts w:ascii="Calibri" w:eastAsia="Times New Roman" w:hAnsi="Calibri"/>
                <w:i/>
                <w:color w:val="000000"/>
                <w:sz w:val="22"/>
                <w:szCs w:val="22"/>
              </w:rPr>
              <w:t>Procambarus clarkia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9F5C46" w:rsidRPr="009F5C46" w:rsidRDefault="009F5C46" w:rsidP="009F5C46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F5C46">
              <w:rPr>
                <w:rFonts w:ascii="Calibri" w:eastAsia="Times New Roman" w:hAnsi="Calibri"/>
                <w:color w:val="000000"/>
                <w:sz w:val="22"/>
                <w:szCs w:val="22"/>
              </w:rPr>
              <w:t>21000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9F5C46" w:rsidRPr="009F5C46" w:rsidRDefault="009F5C46" w:rsidP="009F5C46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F5C46">
              <w:rPr>
                <w:rFonts w:ascii="Calibri" w:eastAsia="Times New Roman" w:hAnsi="Calibri"/>
                <w:color w:val="000000"/>
                <w:sz w:val="22"/>
                <w:szCs w:val="22"/>
              </w:rPr>
              <w:t>49534901</w:t>
            </w:r>
          </w:p>
        </w:tc>
      </w:tr>
      <w:tr w:rsidR="009F5C46" w:rsidRPr="009F5C46" w:rsidTr="009F5C46">
        <w:trPr>
          <w:trHeight w:val="300"/>
        </w:trPr>
        <w:tc>
          <w:tcPr>
            <w:tcW w:w="2875" w:type="dxa"/>
            <w:shd w:val="clear" w:color="auto" w:fill="auto"/>
            <w:noWrap/>
            <w:vAlign w:val="bottom"/>
            <w:hideMark/>
          </w:tcPr>
          <w:p w:rsidR="009F5C46" w:rsidRPr="009F5C46" w:rsidRDefault="009F5C46" w:rsidP="009F5C46">
            <w:pPr>
              <w:spacing w:line="240" w:lineRule="auto"/>
              <w:rPr>
                <w:rFonts w:ascii="Calibri" w:eastAsia="Times New Roman" w:hAnsi="Calibri"/>
                <w:i/>
                <w:color w:val="000000"/>
                <w:sz w:val="22"/>
                <w:szCs w:val="22"/>
              </w:rPr>
            </w:pPr>
            <w:r w:rsidRPr="009F5C46">
              <w:rPr>
                <w:rFonts w:ascii="Calibri" w:eastAsia="Times New Roman" w:hAnsi="Calibri"/>
                <w:i/>
                <w:color w:val="000000"/>
                <w:sz w:val="22"/>
                <w:szCs w:val="22"/>
              </w:rPr>
              <w:t>Palaemonetes pugio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9F5C46" w:rsidRPr="009F5C46" w:rsidRDefault="009F5C46" w:rsidP="009F5C46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F5C46">
              <w:rPr>
                <w:rFonts w:ascii="Calibri" w:eastAsia="Times New Roman" w:hAnsi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9F5C46" w:rsidRPr="009F5C46" w:rsidRDefault="009F5C46" w:rsidP="009F5C46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F5C46">
              <w:rPr>
                <w:rFonts w:ascii="Calibri" w:eastAsia="Times New Roman" w:hAnsi="Calibri"/>
                <w:color w:val="000000"/>
                <w:sz w:val="22"/>
                <w:szCs w:val="22"/>
              </w:rPr>
              <w:t>49534902</w:t>
            </w:r>
          </w:p>
        </w:tc>
      </w:tr>
      <w:tr w:rsidR="009F5C46" w:rsidRPr="009F5C46" w:rsidTr="009F5C46">
        <w:trPr>
          <w:trHeight w:val="300"/>
        </w:trPr>
        <w:tc>
          <w:tcPr>
            <w:tcW w:w="2875" w:type="dxa"/>
            <w:shd w:val="clear" w:color="auto" w:fill="auto"/>
            <w:noWrap/>
            <w:vAlign w:val="bottom"/>
            <w:hideMark/>
          </w:tcPr>
          <w:p w:rsidR="009F5C46" w:rsidRPr="009F5C46" w:rsidRDefault="009F5C46" w:rsidP="009F5C46">
            <w:pPr>
              <w:spacing w:line="240" w:lineRule="auto"/>
              <w:rPr>
                <w:rFonts w:ascii="Calibri" w:eastAsia="Times New Roman" w:hAnsi="Calibri"/>
                <w:i/>
                <w:color w:val="000000"/>
                <w:sz w:val="22"/>
                <w:szCs w:val="22"/>
              </w:rPr>
            </w:pPr>
            <w:r w:rsidRPr="009F5C46">
              <w:rPr>
                <w:rFonts w:ascii="Calibri" w:eastAsia="Times New Roman" w:hAnsi="Calibri"/>
                <w:i/>
                <w:color w:val="000000"/>
                <w:sz w:val="22"/>
                <w:szCs w:val="22"/>
              </w:rPr>
              <w:t>Centroptilum triangulifer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9F5C46" w:rsidRPr="009F5C46" w:rsidRDefault="009F5C46" w:rsidP="009F5C46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F5C46">
              <w:rPr>
                <w:rFonts w:ascii="Calibri" w:eastAsia="Times New Roman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9F5C46" w:rsidRPr="009F5C46" w:rsidRDefault="009F5C46" w:rsidP="009F5C46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F5C46">
              <w:rPr>
                <w:rFonts w:ascii="Calibri" w:eastAsia="Times New Roman" w:hAnsi="Calibri"/>
                <w:color w:val="000000"/>
                <w:sz w:val="22"/>
                <w:szCs w:val="22"/>
              </w:rPr>
              <w:t>49479001</w:t>
            </w:r>
          </w:p>
        </w:tc>
      </w:tr>
      <w:tr w:rsidR="009F5C46" w:rsidRPr="009F5C46" w:rsidTr="009F5C46">
        <w:trPr>
          <w:trHeight w:val="300"/>
        </w:trPr>
        <w:tc>
          <w:tcPr>
            <w:tcW w:w="2875" w:type="dxa"/>
            <w:shd w:val="clear" w:color="auto" w:fill="auto"/>
            <w:noWrap/>
            <w:vAlign w:val="bottom"/>
            <w:hideMark/>
          </w:tcPr>
          <w:p w:rsidR="009F5C46" w:rsidRPr="009F5C46" w:rsidRDefault="009F5C46" w:rsidP="009F5C46">
            <w:pPr>
              <w:spacing w:line="240" w:lineRule="auto"/>
              <w:rPr>
                <w:rFonts w:ascii="Calibri" w:eastAsia="Times New Roman" w:hAnsi="Calibri"/>
                <w:i/>
                <w:color w:val="000000"/>
                <w:sz w:val="22"/>
                <w:szCs w:val="22"/>
              </w:rPr>
            </w:pPr>
            <w:r w:rsidRPr="009F5C46">
              <w:rPr>
                <w:rFonts w:ascii="Calibri" w:eastAsia="Times New Roman" w:hAnsi="Calibri"/>
                <w:i/>
                <w:color w:val="000000"/>
                <w:sz w:val="22"/>
                <w:szCs w:val="22"/>
              </w:rPr>
              <w:t>Chironomus dilutus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9F5C46" w:rsidRPr="009F5C46" w:rsidRDefault="009F5C46" w:rsidP="009F5C46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F5C46">
              <w:rPr>
                <w:rFonts w:ascii="Calibri" w:eastAsia="Times New Roman" w:hAnsi="Calibri"/>
                <w:color w:val="000000"/>
                <w:sz w:val="22"/>
                <w:szCs w:val="22"/>
              </w:rPr>
              <w:t>3.5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9F5C46" w:rsidRPr="009F5C46" w:rsidRDefault="009F5C46" w:rsidP="009F5C46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F5C46">
              <w:rPr>
                <w:rFonts w:ascii="Calibri" w:eastAsia="Times New Roman" w:hAnsi="Calibri"/>
                <w:color w:val="000000"/>
                <w:sz w:val="22"/>
                <w:szCs w:val="22"/>
              </w:rPr>
              <w:t>49479002</w:t>
            </w:r>
          </w:p>
        </w:tc>
      </w:tr>
      <w:tr w:rsidR="009F5C46" w:rsidRPr="009F5C46" w:rsidTr="009F5C46">
        <w:trPr>
          <w:trHeight w:val="300"/>
        </w:trPr>
        <w:tc>
          <w:tcPr>
            <w:tcW w:w="2875" w:type="dxa"/>
            <w:shd w:val="clear" w:color="auto" w:fill="auto"/>
            <w:noWrap/>
            <w:vAlign w:val="bottom"/>
            <w:hideMark/>
          </w:tcPr>
          <w:p w:rsidR="009F5C46" w:rsidRPr="009F5C46" w:rsidRDefault="009F5C46" w:rsidP="009F5C46">
            <w:pPr>
              <w:spacing w:line="240" w:lineRule="auto"/>
              <w:rPr>
                <w:rFonts w:ascii="Calibri" w:eastAsia="Times New Roman" w:hAnsi="Calibri"/>
                <w:i/>
                <w:color w:val="000000"/>
                <w:sz w:val="22"/>
                <w:szCs w:val="22"/>
              </w:rPr>
            </w:pPr>
            <w:r w:rsidRPr="009F5C46">
              <w:rPr>
                <w:rFonts w:ascii="Calibri" w:eastAsia="Times New Roman" w:hAnsi="Calibri"/>
                <w:i/>
                <w:color w:val="000000"/>
                <w:sz w:val="22"/>
                <w:szCs w:val="22"/>
              </w:rPr>
              <w:t>Americamysis bahia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:rsidR="009F5C46" w:rsidRPr="009F5C46" w:rsidRDefault="009F5C46" w:rsidP="009F5C46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F5C46">
              <w:rPr>
                <w:rFonts w:ascii="Calibri" w:eastAsia="Times New Roman" w:hAnsi="Calibri"/>
                <w:color w:val="000000"/>
                <w:sz w:val="22"/>
                <w:szCs w:val="22"/>
              </w:rPr>
              <w:t>4.8</w:t>
            </w:r>
          </w:p>
        </w:tc>
        <w:tc>
          <w:tcPr>
            <w:tcW w:w="1109" w:type="dxa"/>
            <w:shd w:val="clear" w:color="auto" w:fill="auto"/>
            <w:noWrap/>
            <w:vAlign w:val="bottom"/>
            <w:hideMark/>
          </w:tcPr>
          <w:p w:rsidR="009F5C46" w:rsidRPr="009F5C46" w:rsidRDefault="009F5C46" w:rsidP="009F5C46">
            <w:pPr>
              <w:spacing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9F5C46">
              <w:rPr>
                <w:rFonts w:ascii="Calibri" w:eastAsia="Times New Roman" w:hAnsi="Calibri"/>
                <w:color w:val="000000"/>
                <w:sz w:val="22"/>
                <w:szCs w:val="22"/>
              </w:rPr>
              <w:t>49389401</w:t>
            </w:r>
          </w:p>
        </w:tc>
      </w:tr>
    </w:tbl>
    <w:p w:rsidR="00EE5439" w:rsidRPr="0008448B" w:rsidRDefault="00EE5439" w:rsidP="00EB4A67">
      <w:pPr>
        <w:rPr>
          <w:rFonts w:asciiTheme="minorHAnsi" w:hAnsiTheme="minorHAnsi"/>
          <w:sz w:val="22"/>
          <w:szCs w:val="22"/>
        </w:rPr>
      </w:pPr>
    </w:p>
    <w:p w:rsidR="00BF33C0" w:rsidRPr="0008448B" w:rsidRDefault="009F5C46" w:rsidP="00EB4A6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Four</w:t>
      </w:r>
      <w:r w:rsidR="00C95FE7" w:rsidRPr="0008448B">
        <w:rPr>
          <w:rFonts w:asciiTheme="minorHAnsi" w:hAnsiTheme="minorHAnsi"/>
          <w:sz w:val="22"/>
          <w:szCs w:val="22"/>
        </w:rPr>
        <w:t xml:space="preserve"> potential distributions for the </w:t>
      </w:r>
      <w:r w:rsidR="001F18FF" w:rsidRPr="0008448B">
        <w:rPr>
          <w:rFonts w:asciiTheme="minorHAnsi" w:hAnsiTheme="minorHAnsi"/>
          <w:sz w:val="22"/>
          <w:szCs w:val="22"/>
        </w:rPr>
        <w:t>Malathion</w:t>
      </w:r>
      <w:r w:rsidR="00C95FE7" w:rsidRPr="0008448B">
        <w:rPr>
          <w:rFonts w:asciiTheme="minorHAnsi" w:hAnsiTheme="minorHAnsi"/>
          <w:sz w:val="22"/>
          <w:szCs w:val="22"/>
        </w:rPr>
        <w:t xml:space="preserve"> data </w:t>
      </w:r>
      <w:r w:rsidR="00CA436C" w:rsidRPr="0008448B">
        <w:rPr>
          <w:rFonts w:asciiTheme="minorHAnsi" w:hAnsiTheme="minorHAnsi"/>
          <w:sz w:val="22"/>
          <w:szCs w:val="22"/>
        </w:rPr>
        <w:t xml:space="preserve">were considered </w:t>
      </w:r>
      <w:r w:rsidR="00C95FE7" w:rsidRPr="0008448B">
        <w:rPr>
          <w:rFonts w:asciiTheme="minorHAnsi" w:hAnsiTheme="minorHAnsi"/>
          <w:sz w:val="22"/>
          <w:szCs w:val="22"/>
        </w:rPr>
        <w:t xml:space="preserve">(log-normal, log-logistic, log-triangular, log-gumbel,).  To fit each of the four distributions, </w:t>
      </w:r>
      <w:r w:rsidR="00CA436C" w:rsidRPr="0008448B">
        <w:rPr>
          <w:rFonts w:asciiTheme="minorHAnsi" w:hAnsiTheme="minorHAnsi"/>
          <w:sz w:val="22"/>
          <w:szCs w:val="22"/>
        </w:rPr>
        <w:t xml:space="preserve">the toxicity values were </w:t>
      </w:r>
      <w:r w:rsidR="00C95FE7" w:rsidRPr="0008448B">
        <w:rPr>
          <w:rFonts w:asciiTheme="minorHAnsi" w:hAnsiTheme="minorHAnsi"/>
          <w:sz w:val="22"/>
          <w:szCs w:val="22"/>
        </w:rPr>
        <w:t>common log (log</w:t>
      </w:r>
      <w:r w:rsidR="00C95FE7" w:rsidRPr="0008448B">
        <w:rPr>
          <w:rFonts w:asciiTheme="minorHAnsi" w:hAnsiTheme="minorHAnsi"/>
          <w:sz w:val="22"/>
          <w:szCs w:val="22"/>
          <w:vertAlign w:val="subscript"/>
        </w:rPr>
        <w:t>10</w:t>
      </w:r>
      <w:r w:rsidR="00C95FE7" w:rsidRPr="0008448B">
        <w:rPr>
          <w:rFonts w:asciiTheme="minorHAnsi" w:hAnsiTheme="minorHAnsi"/>
          <w:sz w:val="22"/>
          <w:szCs w:val="22"/>
        </w:rPr>
        <w:t>) transformed.</w:t>
      </w:r>
      <w:r w:rsidR="005B2808" w:rsidRPr="0008448B">
        <w:rPr>
          <w:rFonts w:asciiTheme="minorHAnsi" w:hAnsiTheme="minorHAnsi"/>
          <w:sz w:val="22"/>
          <w:szCs w:val="22"/>
        </w:rPr>
        <w:t xml:space="preserve"> </w:t>
      </w:r>
      <w:r w:rsidR="00F23DA5" w:rsidRPr="0008448B">
        <w:rPr>
          <w:rFonts w:asciiTheme="minorHAnsi" w:hAnsiTheme="minorHAnsi"/>
          <w:sz w:val="22"/>
          <w:szCs w:val="22"/>
        </w:rPr>
        <w:t xml:space="preserve">An </w:t>
      </w:r>
      <w:r>
        <w:rPr>
          <w:rFonts w:asciiTheme="minorHAnsi" w:hAnsiTheme="minorHAnsi"/>
          <w:sz w:val="22"/>
          <w:szCs w:val="22"/>
        </w:rPr>
        <w:t>evaluation for</w:t>
      </w:r>
      <w:r w:rsidR="005B2808" w:rsidRPr="0008448B">
        <w:rPr>
          <w:rFonts w:asciiTheme="minorHAnsi" w:hAnsiTheme="minorHAnsi"/>
          <w:sz w:val="22"/>
          <w:szCs w:val="22"/>
        </w:rPr>
        <w:t xml:space="preserve"> fitting separate distributions using Akaike’s information criterion</w:t>
      </w:r>
      <w:r w:rsidR="00F23DA5" w:rsidRPr="0008448B">
        <w:rPr>
          <w:rFonts w:asciiTheme="minorHAnsi" w:hAnsiTheme="minorHAnsi"/>
          <w:sz w:val="22"/>
          <w:szCs w:val="22"/>
        </w:rPr>
        <w:t xml:space="preserve"> (AICc) was conducted</w:t>
      </w:r>
      <w:r w:rsidR="005B2808" w:rsidRPr="0008448B">
        <w:rPr>
          <w:rFonts w:asciiTheme="minorHAnsi" w:hAnsiTheme="minorHAnsi"/>
          <w:sz w:val="22"/>
          <w:szCs w:val="22"/>
        </w:rPr>
        <w:t>.</w:t>
      </w:r>
      <w:r w:rsidR="00AE4DA0" w:rsidRPr="0008448B">
        <w:rPr>
          <w:rFonts w:asciiTheme="minorHAnsi" w:hAnsiTheme="minorHAnsi"/>
          <w:sz w:val="22"/>
          <w:szCs w:val="22"/>
        </w:rPr>
        <w:t xml:space="preserve">  Finally</w:t>
      </w:r>
      <w:r w:rsidR="00CA436C" w:rsidRPr="0008448B">
        <w:rPr>
          <w:rFonts w:asciiTheme="minorHAnsi" w:hAnsiTheme="minorHAnsi"/>
          <w:sz w:val="22"/>
          <w:szCs w:val="22"/>
        </w:rPr>
        <w:t>,</w:t>
      </w:r>
      <w:r w:rsidR="00AE4DA0" w:rsidRPr="0008448B">
        <w:rPr>
          <w:rFonts w:asciiTheme="minorHAnsi" w:hAnsiTheme="minorHAnsi"/>
          <w:sz w:val="22"/>
          <w:szCs w:val="22"/>
        </w:rPr>
        <w:t xml:space="preserve"> direct and indirect effect thresholds and report five quantiles from the fitted SSDs (HC</w:t>
      </w:r>
      <w:r w:rsidR="00AE4DA0" w:rsidRPr="0008448B">
        <w:rPr>
          <w:rFonts w:asciiTheme="minorHAnsi" w:hAnsiTheme="minorHAnsi"/>
          <w:sz w:val="22"/>
          <w:szCs w:val="22"/>
          <w:vertAlign w:val="subscript"/>
        </w:rPr>
        <w:t>05</w:t>
      </w:r>
      <w:r w:rsidR="00AE4DA0" w:rsidRPr="0008448B">
        <w:rPr>
          <w:rFonts w:asciiTheme="minorHAnsi" w:hAnsiTheme="minorHAnsi"/>
          <w:sz w:val="22"/>
          <w:szCs w:val="22"/>
        </w:rPr>
        <w:t>, HC</w:t>
      </w:r>
      <w:r w:rsidR="00AE4DA0" w:rsidRPr="0008448B">
        <w:rPr>
          <w:rFonts w:asciiTheme="minorHAnsi" w:hAnsiTheme="minorHAnsi"/>
          <w:sz w:val="22"/>
          <w:szCs w:val="22"/>
          <w:vertAlign w:val="subscript"/>
        </w:rPr>
        <w:t>10</w:t>
      </w:r>
      <w:r w:rsidR="00AE4DA0" w:rsidRPr="0008448B">
        <w:rPr>
          <w:rFonts w:asciiTheme="minorHAnsi" w:hAnsiTheme="minorHAnsi"/>
          <w:sz w:val="22"/>
          <w:szCs w:val="22"/>
        </w:rPr>
        <w:t>, HC</w:t>
      </w:r>
      <w:r w:rsidR="00AE4DA0" w:rsidRPr="0008448B">
        <w:rPr>
          <w:rFonts w:asciiTheme="minorHAnsi" w:hAnsiTheme="minorHAnsi"/>
          <w:sz w:val="22"/>
          <w:szCs w:val="22"/>
          <w:vertAlign w:val="subscript"/>
        </w:rPr>
        <w:t>50</w:t>
      </w:r>
      <w:r w:rsidR="00AE4DA0" w:rsidRPr="0008448B">
        <w:rPr>
          <w:rFonts w:asciiTheme="minorHAnsi" w:hAnsiTheme="minorHAnsi"/>
          <w:sz w:val="22"/>
          <w:szCs w:val="22"/>
        </w:rPr>
        <w:t>, HC</w:t>
      </w:r>
      <w:r w:rsidR="00AE4DA0" w:rsidRPr="0008448B">
        <w:rPr>
          <w:rFonts w:asciiTheme="minorHAnsi" w:hAnsiTheme="minorHAnsi"/>
          <w:sz w:val="22"/>
          <w:szCs w:val="22"/>
          <w:vertAlign w:val="subscript"/>
        </w:rPr>
        <w:t>90</w:t>
      </w:r>
      <w:r w:rsidR="00AE4DA0" w:rsidRPr="0008448B">
        <w:rPr>
          <w:rFonts w:asciiTheme="minorHAnsi" w:hAnsiTheme="minorHAnsi"/>
          <w:sz w:val="22"/>
          <w:szCs w:val="22"/>
        </w:rPr>
        <w:t>, HC</w:t>
      </w:r>
      <w:r w:rsidR="00AE4DA0" w:rsidRPr="0008448B">
        <w:rPr>
          <w:rFonts w:asciiTheme="minorHAnsi" w:hAnsiTheme="minorHAnsi"/>
          <w:sz w:val="22"/>
          <w:szCs w:val="22"/>
          <w:vertAlign w:val="subscript"/>
        </w:rPr>
        <w:t>95</w:t>
      </w:r>
      <w:r w:rsidR="00AE4DA0" w:rsidRPr="0008448B">
        <w:rPr>
          <w:rFonts w:asciiTheme="minorHAnsi" w:hAnsiTheme="minorHAnsi"/>
          <w:sz w:val="22"/>
          <w:szCs w:val="22"/>
        </w:rPr>
        <w:t>)</w:t>
      </w:r>
      <w:r w:rsidR="00CA436C" w:rsidRPr="0008448B">
        <w:rPr>
          <w:rFonts w:asciiTheme="minorHAnsi" w:hAnsiTheme="minorHAnsi"/>
          <w:sz w:val="22"/>
          <w:szCs w:val="22"/>
        </w:rPr>
        <w:t xml:space="preserve"> were calculated</w:t>
      </w:r>
      <w:r w:rsidR="00AE4DA0" w:rsidRPr="0008448B">
        <w:rPr>
          <w:rFonts w:asciiTheme="minorHAnsi" w:hAnsiTheme="minorHAnsi"/>
          <w:sz w:val="22"/>
          <w:szCs w:val="22"/>
        </w:rPr>
        <w:t>.</w:t>
      </w:r>
    </w:p>
    <w:p w:rsidR="00C95F28" w:rsidRPr="0008448B" w:rsidRDefault="00C95F28" w:rsidP="00EB4A67">
      <w:pPr>
        <w:rPr>
          <w:rFonts w:asciiTheme="minorHAnsi" w:hAnsiTheme="minorHAnsi"/>
          <w:sz w:val="22"/>
          <w:szCs w:val="22"/>
        </w:rPr>
      </w:pPr>
    </w:p>
    <w:p w:rsidR="00C95F28" w:rsidRPr="0008448B" w:rsidRDefault="00016A60" w:rsidP="00EB4A67">
      <w:pPr>
        <w:rPr>
          <w:rFonts w:asciiTheme="minorHAnsi" w:hAnsiTheme="minorHAnsi"/>
          <w:b/>
          <w:sz w:val="22"/>
          <w:szCs w:val="22"/>
        </w:rPr>
      </w:pPr>
      <w:r w:rsidRPr="0008448B">
        <w:rPr>
          <w:rFonts w:asciiTheme="minorHAnsi" w:hAnsiTheme="minorHAnsi"/>
          <w:b/>
          <w:sz w:val="22"/>
          <w:szCs w:val="22"/>
        </w:rPr>
        <w:t xml:space="preserve">II. </w:t>
      </w:r>
      <w:r w:rsidR="00C95F28" w:rsidRPr="0008448B">
        <w:rPr>
          <w:rFonts w:asciiTheme="minorHAnsi" w:hAnsiTheme="minorHAnsi"/>
          <w:b/>
          <w:sz w:val="22"/>
          <w:szCs w:val="22"/>
        </w:rPr>
        <w:t>Comparison of distributions using AICc</w:t>
      </w:r>
    </w:p>
    <w:p w:rsidR="00AE4DA0" w:rsidRPr="0008448B" w:rsidRDefault="00AE4DA0" w:rsidP="00EB4A67">
      <w:pPr>
        <w:rPr>
          <w:rFonts w:asciiTheme="minorHAnsi" w:hAnsiTheme="minorHAnsi"/>
          <w:b/>
          <w:sz w:val="22"/>
          <w:szCs w:val="22"/>
        </w:rPr>
      </w:pPr>
    </w:p>
    <w:p w:rsidR="00C95F28" w:rsidRPr="0008448B" w:rsidRDefault="00C95F28" w:rsidP="00EB4A67">
      <w:pPr>
        <w:rPr>
          <w:rFonts w:asciiTheme="minorHAnsi" w:hAnsiTheme="minorHAnsi"/>
          <w:sz w:val="22"/>
          <w:szCs w:val="22"/>
        </w:rPr>
      </w:pPr>
      <w:r w:rsidRPr="0008448B">
        <w:rPr>
          <w:rFonts w:asciiTheme="minorHAnsi" w:hAnsiTheme="minorHAnsi"/>
          <w:sz w:val="22"/>
          <w:szCs w:val="22"/>
        </w:rPr>
        <w:t>AIC</w:t>
      </w:r>
      <w:r w:rsidRPr="0008448B">
        <w:rPr>
          <w:rFonts w:asciiTheme="minorHAnsi" w:hAnsiTheme="minorHAnsi"/>
          <w:sz w:val="22"/>
          <w:szCs w:val="22"/>
          <w:vertAlign w:val="subscript"/>
        </w:rPr>
        <w:t>c</w:t>
      </w:r>
      <w:r w:rsidRPr="0008448B">
        <w:rPr>
          <w:rFonts w:asciiTheme="minorHAnsi" w:hAnsiTheme="minorHAnsi"/>
          <w:sz w:val="22"/>
          <w:szCs w:val="22"/>
        </w:rPr>
        <w:t xml:space="preserve"> </w:t>
      </w:r>
      <w:r w:rsidR="00CA436C" w:rsidRPr="0008448B">
        <w:rPr>
          <w:rFonts w:asciiTheme="minorHAnsi" w:hAnsiTheme="minorHAnsi"/>
          <w:sz w:val="22"/>
          <w:szCs w:val="22"/>
        </w:rPr>
        <w:t xml:space="preserve">was used </w:t>
      </w:r>
      <w:r w:rsidR="009F5C46">
        <w:rPr>
          <w:rFonts w:asciiTheme="minorHAnsi" w:hAnsiTheme="minorHAnsi"/>
          <w:sz w:val="22"/>
          <w:szCs w:val="22"/>
        </w:rPr>
        <w:t xml:space="preserve">to compare the four </w:t>
      </w:r>
      <w:r w:rsidRPr="0008448B">
        <w:rPr>
          <w:rFonts w:asciiTheme="minorHAnsi" w:hAnsiTheme="minorHAnsi"/>
          <w:sz w:val="22"/>
          <w:szCs w:val="22"/>
        </w:rPr>
        <w:t xml:space="preserve">distributions for </w:t>
      </w:r>
      <w:r w:rsidR="009F5C46">
        <w:rPr>
          <w:rFonts w:asciiTheme="minorHAnsi" w:hAnsiTheme="minorHAnsi"/>
          <w:sz w:val="22"/>
          <w:szCs w:val="22"/>
        </w:rPr>
        <w:t>the dataset</w:t>
      </w:r>
      <w:r w:rsidRPr="0008448B">
        <w:rPr>
          <w:rFonts w:asciiTheme="minorHAnsi" w:hAnsiTheme="minorHAnsi"/>
          <w:sz w:val="22"/>
          <w:szCs w:val="22"/>
        </w:rPr>
        <w:t>.</w:t>
      </w:r>
      <w:r w:rsidR="004B0153" w:rsidRPr="0008448B">
        <w:rPr>
          <w:rFonts w:asciiTheme="minorHAnsi" w:hAnsiTheme="minorHAnsi"/>
          <w:sz w:val="22"/>
          <w:szCs w:val="22"/>
        </w:rPr>
        <w:t xml:space="preserve">  For this comparison all SSDs were fit using maximum likelihood.</w:t>
      </w:r>
      <w:r w:rsidRPr="0008448B">
        <w:rPr>
          <w:rFonts w:asciiTheme="minorHAnsi" w:hAnsiTheme="minorHAnsi"/>
          <w:sz w:val="22"/>
          <w:szCs w:val="22"/>
        </w:rPr>
        <w:t xml:space="preserve"> </w:t>
      </w:r>
    </w:p>
    <w:p w:rsidR="00C95F28" w:rsidRPr="0008448B" w:rsidRDefault="00C95F28" w:rsidP="00C95F28">
      <w:pPr>
        <w:rPr>
          <w:rFonts w:asciiTheme="minorHAnsi" w:hAnsiTheme="minorHAnsi"/>
          <w:sz w:val="22"/>
          <w:szCs w:val="22"/>
        </w:rPr>
      </w:pPr>
    </w:p>
    <w:p w:rsidR="003A3578" w:rsidRDefault="003A3578" w:rsidP="003A3578">
      <w:pPr>
        <w:rPr>
          <w:rFonts w:asciiTheme="minorHAnsi" w:hAnsiTheme="minorHAnsi"/>
          <w:sz w:val="22"/>
          <w:szCs w:val="22"/>
        </w:rPr>
      </w:pPr>
      <w:r w:rsidRPr="0008448B">
        <w:rPr>
          <w:rFonts w:asciiTheme="minorHAnsi" w:hAnsiTheme="minorHAnsi"/>
          <w:sz w:val="22"/>
          <w:szCs w:val="22"/>
        </w:rPr>
        <w:t xml:space="preserve">For </w:t>
      </w:r>
      <w:r w:rsidR="00CA436C" w:rsidRPr="0008448B">
        <w:rPr>
          <w:rFonts w:asciiTheme="minorHAnsi" w:hAnsiTheme="minorHAnsi"/>
          <w:sz w:val="22"/>
          <w:szCs w:val="22"/>
        </w:rPr>
        <w:t>the pooled and freshwater</w:t>
      </w:r>
      <w:r w:rsidRPr="0008448B">
        <w:rPr>
          <w:rFonts w:asciiTheme="minorHAnsi" w:hAnsiTheme="minorHAnsi"/>
          <w:sz w:val="22"/>
          <w:szCs w:val="22"/>
        </w:rPr>
        <w:t xml:space="preserve"> datasets, AIC</w:t>
      </w:r>
      <w:r w:rsidRPr="0008448B">
        <w:rPr>
          <w:rFonts w:asciiTheme="minorHAnsi" w:hAnsiTheme="minorHAnsi"/>
          <w:sz w:val="22"/>
          <w:szCs w:val="22"/>
          <w:vertAlign w:val="subscript"/>
        </w:rPr>
        <w:t>c</w:t>
      </w:r>
      <w:r w:rsidRPr="0008448B">
        <w:rPr>
          <w:rFonts w:asciiTheme="minorHAnsi" w:hAnsiTheme="minorHAnsi"/>
          <w:sz w:val="22"/>
          <w:szCs w:val="22"/>
        </w:rPr>
        <w:t xml:space="preserve"> suggested that the </w:t>
      </w:r>
      <w:r w:rsidR="009F5C46">
        <w:rPr>
          <w:rFonts w:asciiTheme="minorHAnsi" w:hAnsiTheme="minorHAnsi"/>
          <w:sz w:val="22"/>
          <w:szCs w:val="22"/>
        </w:rPr>
        <w:t>gumbel</w:t>
      </w:r>
      <w:r w:rsidR="00CA436C" w:rsidRPr="0008448B">
        <w:rPr>
          <w:rFonts w:asciiTheme="minorHAnsi" w:hAnsiTheme="minorHAnsi"/>
          <w:sz w:val="22"/>
          <w:szCs w:val="22"/>
        </w:rPr>
        <w:t xml:space="preserve"> </w:t>
      </w:r>
      <w:r w:rsidRPr="0008448B">
        <w:rPr>
          <w:rFonts w:asciiTheme="minorHAnsi" w:hAnsiTheme="minorHAnsi"/>
          <w:sz w:val="22"/>
          <w:szCs w:val="22"/>
        </w:rPr>
        <w:t>distribution provided the best fit (</w:t>
      </w:r>
      <w:r w:rsidRPr="0008448B">
        <w:rPr>
          <w:rFonts w:asciiTheme="minorHAnsi" w:hAnsiTheme="minorHAnsi"/>
          <w:b/>
          <w:sz w:val="22"/>
          <w:szCs w:val="22"/>
        </w:rPr>
        <w:t>Table</w:t>
      </w:r>
      <w:r w:rsidR="0008448B" w:rsidRPr="0008448B">
        <w:rPr>
          <w:rFonts w:asciiTheme="minorHAnsi" w:hAnsiTheme="minorHAnsi"/>
          <w:b/>
          <w:sz w:val="22"/>
          <w:szCs w:val="22"/>
        </w:rPr>
        <w:t xml:space="preserve"> </w:t>
      </w:r>
      <w:r w:rsidR="0073587D" w:rsidRPr="0008448B">
        <w:rPr>
          <w:rFonts w:asciiTheme="minorHAnsi" w:hAnsiTheme="minorHAnsi"/>
          <w:b/>
          <w:sz w:val="22"/>
          <w:szCs w:val="22"/>
        </w:rPr>
        <w:t xml:space="preserve">B </w:t>
      </w:r>
      <w:r w:rsidR="0073587D">
        <w:rPr>
          <w:rFonts w:asciiTheme="minorHAnsi" w:hAnsiTheme="minorHAnsi"/>
          <w:b/>
          <w:sz w:val="22"/>
          <w:szCs w:val="22"/>
        </w:rPr>
        <w:t>2-8.</w:t>
      </w:r>
      <w:r w:rsidR="00CA436C" w:rsidRPr="0008448B">
        <w:rPr>
          <w:rFonts w:asciiTheme="minorHAnsi" w:hAnsiTheme="minorHAnsi"/>
          <w:b/>
          <w:sz w:val="22"/>
          <w:szCs w:val="22"/>
        </w:rPr>
        <w:t>3</w:t>
      </w:r>
      <w:r w:rsidR="009F5C46">
        <w:rPr>
          <w:rFonts w:asciiTheme="minorHAnsi" w:hAnsiTheme="minorHAnsi"/>
          <w:b/>
          <w:sz w:val="22"/>
          <w:szCs w:val="22"/>
        </w:rPr>
        <w:t>)</w:t>
      </w:r>
      <w:r w:rsidRPr="0008448B">
        <w:rPr>
          <w:rFonts w:asciiTheme="minorHAnsi" w:hAnsiTheme="minorHAnsi"/>
          <w:sz w:val="22"/>
          <w:szCs w:val="22"/>
        </w:rPr>
        <w:t>.</w:t>
      </w:r>
    </w:p>
    <w:p w:rsidR="009F5C46" w:rsidRPr="0008448B" w:rsidRDefault="009F5C46" w:rsidP="003A3578">
      <w:pPr>
        <w:rPr>
          <w:rFonts w:asciiTheme="minorHAnsi" w:hAnsiTheme="minorHAnsi"/>
          <w:sz w:val="22"/>
          <w:szCs w:val="22"/>
        </w:rPr>
      </w:pPr>
    </w:p>
    <w:p w:rsidR="00C95F28" w:rsidRPr="0008448B" w:rsidRDefault="004F66BC" w:rsidP="00C95F28">
      <w:pPr>
        <w:rPr>
          <w:rFonts w:asciiTheme="minorHAnsi" w:hAnsiTheme="minorHAnsi"/>
          <w:b/>
          <w:sz w:val="22"/>
          <w:szCs w:val="22"/>
        </w:rPr>
      </w:pPr>
      <w:r w:rsidRPr="0008448B">
        <w:rPr>
          <w:rFonts w:asciiTheme="minorHAnsi" w:hAnsiTheme="minorHAnsi"/>
          <w:b/>
          <w:sz w:val="22"/>
          <w:szCs w:val="22"/>
        </w:rPr>
        <w:t xml:space="preserve">Table </w:t>
      </w:r>
      <w:r w:rsidR="0073587D" w:rsidRPr="0008448B">
        <w:rPr>
          <w:rFonts w:asciiTheme="minorHAnsi" w:hAnsiTheme="minorHAnsi"/>
          <w:b/>
          <w:sz w:val="22"/>
          <w:szCs w:val="22"/>
        </w:rPr>
        <w:t xml:space="preserve">B </w:t>
      </w:r>
      <w:r w:rsidR="0073587D">
        <w:rPr>
          <w:rFonts w:asciiTheme="minorHAnsi" w:hAnsiTheme="minorHAnsi"/>
          <w:b/>
          <w:sz w:val="22"/>
          <w:szCs w:val="22"/>
        </w:rPr>
        <w:t>2-8.</w:t>
      </w:r>
      <w:r w:rsidR="00C9277E" w:rsidRPr="0008448B">
        <w:rPr>
          <w:rFonts w:asciiTheme="minorHAnsi" w:hAnsiTheme="minorHAnsi"/>
          <w:b/>
          <w:sz w:val="22"/>
          <w:szCs w:val="22"/>
        </w:rPr>
        <w:t>3</w:t>
      </w:r>
      <w:r w:rsidR="00C95F28" w:rsidRPr="0008448B">
        <w:rPr>
          <w:rFonts w:asciiTheme="minorHAnsi" w:hAnsiTheme="minorHAnsi"/>
          <w:b/>
          <w:sz w:val="22"/>
          <w:szCs w:val="22"/>
        </w:rPr>
        <w:t xml:space="preserve">. Comparison of distributions for all aquatic invertebrate toxicity data for </w:t>
      </w:r>
      <w:r w:rsidR="001F18FF" w:rsidRPr="0008448B">
        <w:rPr>
          <w:rFonts w:asciiTheme="minorHAnsi" w:hAnsiTheme="minorHAnsi"/>
          <w:b/>
          <w:sz w:val="22"/>
          <w:szCs w:val="22"/>
        </w:rPr>
        <w:t>Malathion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6"/>
        <w:gridCol w:w="876"/>
        <w:gridCol w:w="996"/>
        <w:gridCol w:w="876"/>
        <w:gridCol w:w="876"/>
      </w:tblGrid>
      <w:tr w:rsidR="00C95F28" w:rsidRPr="0008448B" w:rsidTr="00C95F28"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C95F28" w:rsidRPr="0008448B" w:rsidRDefault="00C95F28" w:rsidP="00C95F28">
            <w:pPr>
              <w:rPr>
                <w:rFonts w:asciiTheme="minorHAnsi" w:hAnsiTheme="minorHAnsi"/>
                <w:sz w:val="22"/>
                <w:szCs w:val="22"/>
              </w:rPr>
            </w:pPr>
            <w:r w:rsidRPr="0008448B">
              <w:rPr>
                <w:rFonts w:asciiTheme="minorHAnsi" w:hAnsiTheme="minorHAnsi"/>
                <w:sz w:val="22"/>
                <w:szCs w:val="22"/>
              </w:rPr>
              <w:t>distribution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C95F28" w:rsidRPr="0008448B" w:rsidRDefault="00C95F28" w:rsidP="00C95F28">
            <w:pPr>
              <w:rPr>
                <w:rFonts w:asciiTheme="minorHAnsi" w:hAnsiTheme="minorHAnsi"/>
                <w:sz w:val="22"/>
                <w:szCs w:val="22"/>
              </w:rPr>
            </w:pPr>
            <w:r w:rsidRPr="0008448B">
              <w:rPr>
                <w:rFonts w:asciiTheme="minorHAnsi" w:hAnsiTheme="minorHAnsi"/>
                <w:sz w:val="22"/>
                <w:szCs w:val="22"/>
              </w:rPr>
              <w:t>HC05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C95F28" w:rsidRPr="0008448B" w:rsidRDefault="00C95F28" w:rsidP="00C95F28">
            <w:pPr>
              <w:rPr>
                <w:rFonts w:asciiTheme="minorHAnsi" w:hAnsiTheme="minorHAnsi"/>
                <w:sz w:val="22"/>
                <w:szCs w:val="22"/>
              </w:rPr>
            </w:pPr>
            <w:r w:rsidRPr="0008448B">
              <w:rPr>
                <w:rFonts w:asciiTheme="minorHAnsi" w:hAnsiTheme="minorHAnsi"/>
                <w:sz w:val="22"/>
                <w:szCs w:val="22"/>
              </w:rPr>
              <w:t>AIC</w:t>
            </w:r>
            <w:r w:rsidRPr="0008448B">
              <w:rPr>
                <w:rFonts w:asciiTheme="minorHAnsi" w:hAnsiTheme="minorHAnsi"/>
                <w:sz w:val="22"/>
                <w:szCs w:val="22"/>
                <w:vertAlign w:val="subscript"/>
              </w:rPr>
              <w:t>c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C95F28" w:rsidRPr="0008448B" w:rsidRDefault="00C95F28" w:rsidP="00C95F28">
            <w:pPr>
              <w:rPr>
                <w:rFonts w:asciiTheme="minorHAnsi" w:hAnsiTheme="minorHAnsi"/>
                <w:sz w:val="22"/>
                <w:szCs w:val="22"/>
              </w:rPr>
            </w:pPr>
            <w:r w:rsidRPr="0008448B">
              <w:rPr>
                <w:rFonts w:asciiTheme="minorHAnsi" w:hAnsiTheme="minorHAnsi"/>
                <w:sz w:val="22"/>
                <w:szCs w:val="22"/>
              </w:rPr>
              <w:t>∆AIC</w:t>
            </w:r>
            <w:r w:rsidRPr="0008448B">
              <w:rPr>
                <w:rFonts w:asciiTheme="minorHAnsi" w:hAnsiTheme="minorHAnsi"/>
                <w:sz w:val="22"/>
                <w:szCs w:val="22"/>
                <w:vertAlign w:val="subscript"/>
              </w:rPr>
              <w:t>c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C95F28" w:rsidRPr="0008448B" w:rsidRDefault="00C95F28" w:rsidP="00C95F28">
            <w:pPr>
              <w:rPr>
                <w:rFonts w:asciiTheme="minorHAnsi" w:hAnsiTheme="minorHAnsi"/>
                <w:sz w:val="22"/>
                <w:szCs w:val="22"/>
              </w:rPr>
            </w:pPr>
            <w:r w:rsidRPr="0008448B">
              <w:rPr>
                <w:rFonts w:asciiTheme="minorHAnsi" w:hAnsiTheme="minorHAnsi"/>
                <w:sz w:val="22"/>
                <w:szCs w:val="22"/>
              </w:rPr>
              <w:t>Weight</w:t>
            </w:r>
          </w:p>
        </w:tc>
      </w:tr>
      <w:tr w:rsidR="009F5C46" w:rsidRPr="0008448B" w:rsidTr="009F5C46">
        <w:tc>
          <w:tcPr>
            <w:tcW w:w="0" w:type="auto"/>
            <w:tcBorders>
              <w:top w:val="single" w:sz="12" w:space="0" w:color="auto"/>
            </w:tcBorders>
            <w:vAlign w:val="bottom"/>
          </w:tcPr>
          <w:p w:rsidR="009F5C46" w:rsidRPr="0008448B" w:rsidRDefault="009F5C46" w:rsidP="009F5C4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Gumbel</w:t>
            </w:r>
          </w:p>
        </w:tc>
        <w:tc>
          <w:tcPr>
            <w:tcW w:w="0" w:type="auto"/>
            <w:vAlign w:val="center"/>
          </w:tcPr>
          <w:p w:rsidR="009F5C46" w:rsidRPr="00772ABA" w:rsidRDefault="009F5C46" w:rsidP="009F5C46">
            <w:pPr>
              <w:rPr>
                <w:rFonts w:eastAsia="Times New Roman"/>
              </w:rPr>
            </w:pPr>
            <w:r w:rsidRPr="00772ABA">
              <w:rPr>
                <w:rFonts w:eastAsia="Times New Roman"/>
              </w:rPr>
              <w:t>1.0308</w:t>
            </w:r>
          </w:p>
        </w:tc>
        <w:tc>
          <w:tcPr>
            <w:tcW w:w="0" w:type="auto"/>
            <w:vAlign w:val="center"/>
          </w:tcPr>
          <w:p w:rsidR="009F5C46" w:rsidRPr="00772ABA" w:rsidRDefault="009F5C46" w:rsidP="009F5C46">
            <w:pPr>
              <w:rPr>
                <w:rFonts w:eastAsia="Times New Roman"/>
              </w:rPr>
            </w:pPr>
            <w:r w:rsidRPr="00772ABA">
              <w:rPr>
                <w:rFonts w:eastAsia="Times New Roman"/>
              </w:rPr>
              <w:t>77.8060</w:t>
            </w:r>
          </w:p>
        </w:tc>
        <w:tc>
          <w:tcPr>
            <w:tcW w:w="0" w:type="auto"/>
            <w:vAlign w:val="center"/>
          </w:tcPr>
          <w:p w:rsidR="009F5C46" w:rsidRPr="00772ABA" w:rsidRDefault="009F5C46" w:rsidP="009F5C46">
            <w:pPr>
              <w:rPr>
                <w:rFonts w:eastAsia="Times New Roman"/>
              </w:rPr>
            </w:pPr>
            <w:r w:rsidRPr="00772ABA">
              <w:rPr>
                <w:rFonts w:eastAsia="Times New Roman"/>
              </w:rPr>
              <w:t>0</w:t>
            </w:r>
          </w:p>
        </w:tc>
        <w:tc>
          <w:tcPr>
            <w:tcW w:w="0" w:type="auto"/>
            <w:vAlign w:val="center"/>
          </w:tcPr>
          <w:p w:rsidR="009F5C46" w:rsidRPr="00772ABA" w:rsidRDefault="009F5C46" w:rsidP="009F5C46">
            <w:pPr>
              <w:rPr>
                <w:rFonts w:eastAsia="Times New Roman"/>
              </w:rPr>
            </w:pPr>
            <w:r w:rsidRPr="00772ABA">
              <w:rPr>
                <w:rFonts w:eastAsia="Times New Roman"/>
              </w:rPr>
              <w:t>0.5281</w:t>
            </w:r>
          </w:p>
        </w:tc>
      </w:tr>
      <w:tr w:rsidR="009F5C46" w:rsidRPr="0008448B" w:rsidTr="00A518BA">
        <w:tc>
          <w:tcPr>
            <w:tcW w:w="0" w:type="auto"/>
            <w:vAlign w:val="bottom"/>
          </w:tcPr>
          <w:p w:rsidR="009F5C46" w:rsidRPr="0008448B" w:rsidRDefault="009F5C46" w:rsidP="009F5C4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Logistic</w:t>
            </w:r>
          </w:p>
        </w:tc>
        <w:tc>
          <w:tcPr>
            <w:tcW w:w="0" w:type="auto"/>
            <w:vAlign w:val="center"/>
          </w:tcPr>
          <w:p w:rsidR="009F5C46" w:rsidRPr="00772ABA" w:rsidRDefault="009F5C46" w:rsidP="009F5C46">
            <w:pPr>
              <w:rPr>
                <w:rFonts w:eastAsia="Times New Roman"/>
              </w:rPr>
            </w:pPr>
            <w:r w:rsidRPr="00772ABA">
              <w:rPr>
                <w:rFonts w:eastAsia="Times New Roman"/>
              </w:rPr>
              <w:t>0.1424</w:t>
            </w:r>
          </w:p>
        </w:tc>
        <w:tc>
          <w:tcPr>
            <w:tcW w:w="0" w:type="auto"/>
            <w:vAlign w:val="center"/>
          </w:tcPr>
          <w:p w:rsidR="009F5C46" w:rsidRPr="00772ABA" w:rsidRDefault="009F5C46" w:rsidP="009F5C46">
            <w:pPr>
              <w:rPr>
                <w:rFonts w:eastAsia="Times New Roman"/>
              </w:rPr>
            </w:pPr>
            <w:r w:rsidRPr="00772ABA">
              <w:rPr>
                <w:rFonts w:eastAsia="Times New Roman"/>
              </w:rPr>
              <w:t>80.0988</w:t>
            </w:r>
          </w:p>
        </w:tc>
        <w:tc>
          <w:tcPr>
            <w:tcW w:w="0" w:type="auto"/>
            <w:vAlign w:val="center"/>
          </w:tcPr>
          <w:p w:rsidR="009F5C46" w:rsidRPr="00772ABA" w:rsidRDefault="009F5C46" w:rsidP="009F5C46">
            <w:pPr>
              <w:rPr>
                <w:rFonts w:eastAsia="Times New Roman"/>
              </w:rPr>
            </w:pPr>
            <w:r w:rsidRPr="00772ABA">
              <w:rPr>
                <w:rFonts w:eastAsia="Times New Roman"/>
              </w:rPr>
              <w:t>2.2928</w:t>
            </w:r>
          </w:p>
        </w:tc>
        <w:tc>
          <w:tcPr>
            <w:tcW w:w="0" w:type="auto"/>
            <w:vAlign w:val="center"/>
          </w:tcPr>
          <w:p w:rsidR="009F5C46" w:rsidRPr="00772ABA" w:rsidRDefault="009F5C46" w:rsidP="009F5C46">
            <w:pPr>
              <w:rPr>
                <w:rFonts w:eastAsia="Times New Roman"/>
              </w:rPr>
            </w:pPr>
            <w:r w:rsidRPr="00772ABA">
              <w:rPr>
                <w:rFonts w:eastAsia="Times New Roman"/>
              </w:rPr>
              <w:t>0.1678</w:t>
            </w:r>
          </w:p>
        </w:tc>
      </w:tr>
      <w:tr w:rsidR="009F5C46" w:rsidRPr="0008448B" w:rsidTr="00A518BA">
        <w:tc>
          <w:tcPr>
            <w:tcW w:w="0" w:type="auto"/>
            <w:vAlign w:val="bottom"/>
          </w:tcPr>
          <w:p w:rsidR="009F5C46" w:rsidRPr="0008448B" w:rsidRDefault="009F5C46" w:rsidP="009F5C4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Triangular</w:t>
            </w:r>
          </w:p>
        </w:tc>
        <w:tc>
          <w:tcPr>
            <w:tcW w:w="0" w:type="auto"/>
            <w:vAlign w:val="center"/>
          </w:tcPr>
          <w:p w:rsidR="009F5C46" w:rsidRPr="00772ABA" w:rsidRDefault="009F5C46" w:rsidP="009F5C46">
            <w:pPr>
              <w:rPr>
                <w:rFonts w:eastAsia="Times New Roman"/>
              </w:rPr>
            </w:pPr>
            <w:r w:rsidRPr="00772ABA">
              <w:rPr>
                <w:rFonts w:eastAsia="Times New Roman"/>
              </w:rPr>
              <w:t>0.3429</w:t>
            </w:r>
          </w:p>
        </w:tc>
        <w:tc>
          <w:tcPr>
            <w:tcW w:w="0" w:type="auto"/>
            <w:vAlign w:val="center"/>
          </w:tcPr>
          <w:p w:rsidR="009F5C46" w:rsidRPr="00772ABA" w:rsidRDefault="009F5C46" w:rsidP="009F5C46">
            <w:pPr>
              <w:rPr>
                <w:rFonts w:eastAsia="Times New Roman"/>
              </w:rPr>
            </w:pPr>
            <w:r w:rsidRPr="00772ABA">
              <w:rPr>
                <w:rFonts w:eastAsia="Times New Roman"/>
              </w:rPr>
              <w:t>80.1813</w:t>
            </w:r>
          </w:p>
        </w:tc>
        <w:tc>
          <w:tcPr>
            <w:tcW w:w="0" w:type="auto"/>
            <w:vAlign w:val="center"/>
          </w:tcPr>
          <w:p w:rsidR="009F5C46" w:rsidRPr="00772ABA" w:rsidRDefault="009F5C46" w:rsidP="009F5C46">
            <w:pPr>
              <w:rPr>
                <w:rFonts w:eastAsia="Times New Roman"/>
              </w:rPr>
            </w:pPr>
            <w:r w:rsidRPr="00772ABA">
              <w:rPr>
                <w:rFonts w:eastAsia="Times New Roman"/>
              </w:rPr>
              <w:t>2.3754</w:t>
            </w:r>
          </w:p>
        </w:tc>
        <w:tc>
          <w:tcPr>
            <w:tcW w:w="0" w:type="auto"/>
            <w:vAlign w:val="center"/>
          </w:tcPr>
          <w:p w:rsidR="009F5C46" w:rsidRPr="00772ABA" w:rsidRDefault="009F5C46" w:rsidP="009F5C46">
            <w:pPr>
              <w:rPr>
                <w:rFonts w:eastAsia="Times New Roman"/>
              </w:rPr>
            </w:pPr>
            <w:r w:rsidRPr="00772ABA">
              <w:rPr>
                <w:rFonts w:eastAsia="Times New Roman"/>
              </w:rPr>
              <w:t>0.1610</w:t>
            </w:r>
          </w:p>
        </w:tc>
      </w:tr>
      <w:tr w:rsidR="009F5C46" w:rsidRPr="0008448B" w:rsidTr="00A518BA">
        <w:tc>
          <w:tcPr>
            <w:tcW w:w="0" w:type="auto"/>
            <w:vAlign w:val="bottom"/>
          </w:tcPr>
          <w:p w:rsidR="009F5C46" w:rsidRPr="0008448B" w:rsidRDefault="009F5C46" w:rsidP="009F5C4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Normal</w:t>
            </w:r>
          </w:p>
        </w:tc>
        <w:tc>
          <w:tcPr>
            <w:tcW w:w="0" w:type="auto"/>
            <w:vAlign w:val="center"/>
          </w:tcPr>
          <w:p w:rsidR="009F5C46" w:rsidRPr="00772ABA" w:rsidRDefault="009F5C46" w:rsidP="009F5C46">
            <w:pPr>
              <w:rPr>
                <w:rFonts w:eastAsia="Times New Roman"/>
              </w:rPr>
            </w:pPr>
            <w:r w:rsidRPr="00772ABA">
              <w:rPr>
                <w:rFonts w:eastAsia="Times New Roman"/>
              </w:rPr>
              <w:t>0.1889</w:t>
            </w:r>
          </w:p>
        </w:tc>
        <w:tc>
          <w:tcPr>
            <w:tcW w:w="0" w:type="auto"/>
            <w:vAlign w:val="center"/>
          </w:tcPr>
          <w:p w:rsidR="009F5C46" w:rsidRPr="00772ABA" w:rsidRDefault="009F5C46" w:rsidP="009F5C46">
            <w:pPr>
              <w:rPr>
                <w:rFonts w:eastAsia="Times New Roman"/>
              </w:rPr>
            </w:pPr>
            <w:r w:rsidRPr="00772ABA">
              <w:rPr>
                <w:rFonts w:eastAsia="Times New Roman"/>
              </w:rPr>
              <w:t>80.4173</w:t>
            </w:r>
          </w:p>
        </w:tc>
        <w:tc>
          <w:tcPr>
            <w:tcW w:w="0" w:type="auto"/>
            <w:vAlign w:val="center"/>
          </w:tcPr>
          <w:p w:rsidR="009F5C46" w:rsidRPr="00772ABA" w:rsidRDefault="009F5C46" w:rsidP="009F5C46">
            <w:pPr>
              <w:rPr>
                <w:rFonts w:eastAsia="Times New Roman"/>
              </w:rPr>
            </w:pPr>
            <w:r w:rsidRPr="00772ABA">
              <w:rPr>
                <w:rFonts w:eastAsia="Times New Roman"/>
              </w:rPr>
              <w:t>2.6113</w:t>
            </w:r>
          </w:p>
        </w:tc>
        <w:tc>
          <w:tcPr>
            <w:tcW w:w="0" w:type="auto"/>
            <w:vAlign w:val="center"/>
          </w:tcPr>
          <w:p w:rsidR="009F5C46" w:rsidRPr="00772ABA" w:rsidRDefault="009F5C46" w:rsidP="009F5C46">
            <w:pPr>
              <w:rPr>
                <w:rFonts w:eastAsia="Times New Roman"/>
              </w:rPr>
            </w:pPr>
            <w:r w:rsidRPr="00772ABA">
              <w:rPr>
                <w:rFonts w:eastAsia="Times New Roman"/>
              </w:rPr>
              <w:t>0.1431</w:t>
            </w:r>
          </w:p>
        </w:tc>
      </w:tr>
      <w:tr w:rsidR="00A518BA" w:rsidRPr="0008448B" w:rsidTr="00A518BA">
        <w:tc>
          <w:tcPr>
            <w:tcW w:w="0" w:type="auto"/>
            <w:tcBorders>
              <w:bottom w:val="single" w:sz="12" w:space="0" w:color="auto"/>
            </w:tcBorders>
            <w:vAlign w:val="bottom"/>
          </w:tcPr>
          <w:p w:rsidR="00A518BA" w:rsidRPr="0008448B" w:rsidRDefault="00A518BA" w:rsidP="00A518B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518BA" w:rsidRPr="0008448B" w:rsidRDefault="00A518BA" w:rsidP="00A518B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518BA" w:rsidRPr="0008448B" w:rsidRDefault="00A518BA" w:rsidP="00A518B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518BA" w:rsidRPr="0008448B" w:rsidRDefault="00A518BA" w:rsidP="00A518B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A518BA" w:rsidRPr="0008448B" w:rsidRDefault="00A518BA" w:rsidP="00A518B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F23DA5" w:rsidRPr="0008448B" w:rsidRDefault="00F23DA5" w:rsidP="00C95F28">
      <w:pPr>
        <w:rPr>
          <w:rFonts w:asciiTheme="minorHAnsi" w:hAnsiTheme="minorHAnsi"/>
          <w:sz w:val="22"/>
          <w:szCs w:val="22"/>
        </w:rPr>
      </w:pPr>
    </w:p>
    <w:p w:rsidR="00F23DA5" w:rsidRPr="0008448B" w:rsidRDefault="00F23DA5" w:rsidP="00C95F28">
      <w:pPr>
        <w:rPr>
          <w:rFonts w:asciiTheme="minorHAnsi" w:hAnsiTheme="minorHAnsi"/>
          <w:sz w:val="22"/>
          <w:szCs w:val="22"/>
        </w:rPr>
      </w:pPr>
    </w:p>
    <w:p w:rsidR="005F04FA" w:rsidRPr="0008448B" w:rsidRDefault="00016A60" w:rsidP="009F5C46">
      <w:pPr>
        <w:rPr>
          <w:rFonts w:asciiTheme="minorHAnsi" w:hAnsiTheme="minorHAnsi"/>
          <w:sz w:val="22"/>
          <w:szCs w:val="22"/>
        </w:rPr>
      </w:pPr>
      <w:r w:rsidRPr="0008448B">
        <w:rPr>
          <w:rFonts w:asciiTheme="minorHAnsi" w:hAnsiTheme="minorHAnsi"/>
          <w:b/>
          <w:sz w:val="22"/>
          <w:szCs w:val="22"/>
        </w:rPr>
        <w:t xml:space="preserve">III. </w:t>
      </w:r>
      <w:r w:rsidR="009F5C46">
        <w:rPr>
          <w:rFonts w:asciiTheme="minorHAnsi" w:hAnsiTheme="minorHAnsi"/>
          <w:b/>
          <w:sz w:val="22"/>
          <w:szCs w:val="22"/>
        </w:rPr>
        <w:t>Distribution</w:t>
      </w:r>
      <w:r w:rsidR="00C47226">
        <w:rPr>
          <w:rFonts w:asciiTheme="minorHAnsi" w:hAnsiTheme="minorHAnsi"/>
          <w:b/>
          <w:sz w:val="22"/>
          <w:szCs w:val="22"/>
        </w:rPr>
        <w:t>s</w:t>
      </w:r>
    </w:p>
    <w:p w:rsidR="00826334" w:rsidRPr="0008448B" w:rsidRDefault="00826334" w:rsidP="00826334">
      <w:pPr>
        <w:rPr>
          <w:rFonts w:asciiTheme="minorHAnsi" w:hAnsiTheme="minorHAnsi"/>
          <w:sz w:val="22"/>
          <w:szCs w:val="22"/>
        </w:rPr>
      </w:pPr>
    </w:p>
    <w:p w:rsidR="00C95F28" w:rsidRPr="0008448B" w:rsidRDefault="0066241D" w:rsidP="00826334">
      <w:pPr>
        <w:rPr>
          <w:rFonts w:asciiTheme="minorHAnsi" w:hAnsiTheme="minorHAnsi"/>
          <w:sz w:val="22"/>
          <w:szCs w:val="22"/>
        </w:rPr>
      </w:pPr>
      <w:r w:rsidRPr="0008448B">
        <w:rPr>
          <w:rFonts w:asciiTheme="minorHAnsi" w:hAnsiTheme="minorHAnsi"/>
          <w:sz w:val="22"/>
          <w:szCs w:val="22"/>
        </w:rPr>
        <w:t xml:space="preserve">The cumulative distribution functions for the full SSDs </w:t>
      </w:r>
      <w:r w:rsidR="00C47226">
        <w:rPr>
          <w:rFonts w:asciiTheme="minorHAnsi" w:hAnsiTheme="minorHAnsi"/>
          <w:sz w:val="22"/>
          <w:szCs w:val="22"/>
        </w:rPr>
        <w:t xml:space="preserve">is </w:t>
      </w:r>
      <w:r w:rsidRPr="0008448B">
        <w:rPr>
          <w:rFonts w:asciiTheme="minorHAnsi" w:hAnsiTheme="minorHAnsi"/>
          <w:sz w:val="22"/>
          <w:szCs w:val="22"/>
        </w:rPr>
        <w:t xml:space="preserve">presented in </w:t>
      </w:r>
      <w:r w:rsidR="0073587D">
        <w:rPr>
          <w:rFonts w:asciiTheme="minorHAnsi" w:hAnsiTheme="minorHAnsi"/>
          <w:b/>
          <w:sz w:val="22"/>
          <w:szCs w:val="22"/>
        </w:rPr>
        <w:t xml:space="preserve">Figure </w:t>
      </w:r>
      <w:r w:rsidR="0073587D" w:rsidRPr="0008448B">
        <w:rPr>
          <w:rFonts w:asciiTheme="minorHAnsi" w:hAnsiTheme="minorHAnsi"/>
          <w:b/>
          <w:sz w:val="22"/>
          <w:szCs w:val="22"/>
        </w:rPr>
        <w:t xml:space="preserve">B </w:t>
      </w:r>
      <w:r w:rsidR="0073587D">
        <w:rPr>
          <w:rFonts w:asciiTheme="minorHAnsi" w:hAnsiTheme="minorHAnsi"/>
          <w:b/>
          <w:sz w:val="22"/>
          <w:szCs w:val="22"/>
        </w:rPr>
        <w:t>2-8.</w:t>
      </w:r>
      <w:r w:rsidR="00C47226">
        <w:rPr>
          <w:rFonts w:asciiTheme="minorHAnsi" w:hAnsiTheme="minorHAnsi"/>
          <w:b/>
          <w:sz w:val="22"/>
          <w:szCs w:val="22"/>
        </w:rPr>
        <w:t>1</w:t>
      </w:r>
      <w:r w:rsidRPr="0008448B">
        <w:rPr>
          <w:rFonts w:asciiTheme="minorHAnsi" w:hAnsiTheme="minorHAnsi"/>
          <w:sz w:val="22"/>
          <w:szCs w:val="22"/>
        </w:rPr>
        <w:t xml:space="preserve"> below</w:t>
      </w:r>
      <w:r w:rsidR="00826334" w:rsidRPr="0008448B">
        <w:rPr>
          <w:rFonts w:asciiTheme="minorHAnsi" w:hAnsiTheme="minorHAnsi"/>
          <w:sz w:val="22"/>
          <w:szCs w:val="22"/>
        </w:rPr>
        <w:t>.</w:t>
      </w:r>
      <w:r w:rsidRPr="0008448B">
        <w:rPr>
          <w:rFonts w:asciiTheme="minorHAnsi" w:hAnsiTheme="minorHAnsi"/>
          <w:sz w:val="22"/>
          <w:szCs w:val="22"/>
        </w:rPr>
        <w:t xml:space="preserve">  </w:t>
      </w:r>
    </w:p>
    <w:p w:rsidR="0066241D" w:rsidRPr="0008448B" w:rsidRDefault="0066241D" w:rsidP="00C95F28">
      <w:pPr>
        <w:rPr>
          <w:rFonts w:asciiTheme="minorHAnsi" w:hAnsiTheme="minorHAnsi"/>
          <w:sz w:val="22"/>
          <w:szCs w:val="22"/>
        </w:rPr>
      </w:pPr>
    </w:p>
    <w:p w:rsidR="0066241D" w:rsidRPr="0008448B" w:rsidRDefault="0066241D" w:rsidP="0066241D">
      <w:pPr>
        <w:rPr>
          <w:rFonts w:asciiTheme="minorHAnsi" w:hAnsiTheme="minorHAnsi"/>
          <w:sz w:val="22"/>
          <w:szCs w:val="22"/>
        </w:rPr>
      </w:pPr>
    </w:p>
    <w:p w:rsidR="00B738A9" w:rsidRPr="0008448B" w:rsidRDefault="00C47226" w:rsidP="00C95F28">
      <w:pPr>
        <w:rPr>
          <w:rFonts w:asciiTheme="minorHAnsi" w:hAnsiTheme="minorHAnsi"/>
          <w:sz w:val="22"/>
          <w:szCs w:val="22"/>
        </w:rPr>
      </w:pPr>
      <w:r w:rsidRPr="00C47226">
        <w:rPr>
          <w:rFonts w:asciiTheme="minorHAnsi" w:hAnsiTheme="minorHAnsi"/>
          <w:noProof/>
          <w:sz w:val="22"/>
          <w:szCs w:val="22"/>
        </w:rPr>
        <w:lastRenderedPageBreak/>
        <w:drawing>
          <wp:inline distT="0" distB="0" distL="0" distR="0">
            <wp:extent cx="5943600" cy="3042630"/>
            <wp:effectExtent l="0" t="0" r="0" b="5715"/>
            <wp:docPr id="1" name="Picture 1" descr="C:\Users\ablankin\Documents\My Documents\malathion_C drive\malathion\SSDs Nov 2016\aq invert ss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lankin\Documents\My Documents\malathion_C drive\malathion\SSDs Nov 2016\aq invert ss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4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F28" w:rsidRPr="0008448B" w:rsidRDefault="0008448B" w:rsidP="00C95F28">
      <w:pPr>
        <w:rPr>
          <w:rFonts w:asciiTheme="minorHAnsi" w:hAnsiTheme="minorHAnsi"/>
          <w:sz w:val="22"/>
          <w:szCs w:val="22"/>
        </w:rPr>
      </w:pPr>
      <w:r w:rsidRPr="0008448B">
        <w:rPr>
          <w:rFonts w:asciiTheme="minorHAnsi" w:hAnsiTheme="minorHAnsi"/>
          <w:b/>
          <w:sz w:val="22"/>
          <w:szCs w:val="22"/>
        </w:rPr>
        <w:t xml:space="preserve">Figure </w:t>
      </w:r>
      <w:r w:rsidR="0073587D" w:rsidRPr="0008448B">
        <w:rPr>
          <w:rFonts w:asciiTheme="minorHAnsi" w:hAnsiTheme="minorHAnsi"/>
          <w:b/>
          <w:sz w:val="22"/>
          <w:szCs w:val="22"/>
        </w:rPr>
        <w:t xml:space="preserve">B </w:t>
      </w:r>
      <w:r w:rsidR="0073587D">
        <w:rPr>
          <w:rFonts w:asciiTheme="minorHAnsi" w:hAnsiTheme="minorHAnsi"/>
          <w:b/>
          <w:sz w:val="22"/>
          <w:szCs w:val="22"/>
        </w:rPr>
        <w:t>2-8.</w:t>
      </w:r>
      <w:r w:rsidR="00C47226">
        <w:rPr>
          <w:rFonts w:asciiTheme="minorHAnsi" w:hAnsiTheme="minorHAnsi"/>
          <w:b/>
          <w:sz w:val="22"/>
          <w:szCs w:val="22"/>
        </w:rPr>
        <w:t>1</w:t>
      </w:r>
      <w:r w:rsidR="00C95F28" w:rsidRPr="0008448B">
        <w:rPr>
          <w:rFonts w:asciiTheme="minorHAnsi" w:hAnsiTheme="minorHAnsi"/>
          <w:b/>
          <w:sz w:val="22"/>
          <w:szCs w:val="22"/>
        </w:rPr>
        <w:t>. Log-</w:t>
      </w:r>
      <w:r w:rsidR="00C47226">
        <w:rPr>
          <w:rFonts w:asciiTheme="minorHAnsi" w:hAnsiTheme="minorHAnsi"/>
          <w:b/>
          <w:sz w:val="22"/>
          <w:szCs w:val="22"/>
        </w:rPr>
        <w:t>gumbel</w:t>
      </w:r>
      <w:r w:rsidR="00C95F28" w:rsidRPr="0008448B">
        <w:rPr>
          <w:rFonts w:asciiTheme="minorHAnsi" w:hAnsiTheme="minorHAnsi"/>
          <w:b/>
          <w:sz w:val="22"/>
          <w:szCs w:val="22"/>
        </w:rPr>
        <w:t xml:space="preserve"> SSD for </w:t>
      </w:r>
      <w:r w:rsidR="001F18FF" w:rsidRPr="0008448B">
        <w:rPr>
          <w:rFonts w:asciiTheme="minorHAnsi" w:hAnsiTheme="minorHAnsi"/>
          <w:b/>
          <w:sz w:val="22"/>
          <w:szCs w:val="22"/>
        </w:rPr>
        <w:t>Malathion</w:t>
      </w:r>
      <w:r w:rsidR="00C95F28" w:rsidRPr="0008448B">
        <w:rPr>
          <w:rFonts w:asciiTheme="minorHAnsi" w:hAnsiTheme="minorHAnsi"/>
          <w:b/>
          <w:sz w:val="22"/>
          <w:szCs w:val="22"/>
        </w:rPr>
        <w:t xml:space="preserve"> toxicity values for </w:t>
      </w:r>
      <w:r w:rsidR="000B06E5" w:rsidRPr="0008448B">
        <w:rPr>
          <w:rFonts w:asciiTheme="minorHAnsi" w:hAnsiTheme="minorHAnsi"/>
          <w:b/>
          <w:sz w:val="22"/>
          <w:szCs w:val="22"/>
        </w:rPr>
        <w:t>all aquatic</w:t>
      </w:r>
      <w:r w:rsidR="00C95F28" w:rsidRPr="0008448B">
        <w:rPr>
          <w:rFonts w:asciiTheme="minorHAnsi" w:hAnsiTheme="minorHAnsi"/>
          <w:b/>
          <w:sz w:val="22"/>
          <w:szCs w:val="22"/>
        </w:rPr>
        <w:t xml:space="preserve"> invertebrates.</w:t>
      </w:r>
      <w:r w:rsidR="00C95F28" w:rsidRPr="0008448B">
        <w:rPr>
          <w:rFonts w:asciiTheme="minorHAnsi" w:hAnsiTheme="minorHAnsi"/>
          <w:sz w:val="22"/>
          <w:szCs w:val="22"/>
        </w:rPr>
        <w:t xml:space="preserve"> </w:t>
      </w:r>
    </w:p>
    <w:p w:rsidR="00B738A9" w:rsidRPr="0008448B" w:rsidRDefault="00B738A9" w:rsidP="00C95F28">
      <w:pPr>
        <w:rPr>
          <w:rFonts w:asciiTheme="minorHAnsi" w:hAnsiTheme="minorHAnsi"/>
          <w:sz w:val="22"/>
          <w:szCs w:val="22"/>
        </w:rPr>
      </w:pPr>
    </w:p>
    <w:p w:rsidR="00A13868" w:rsidRPr="0008448B" w:rsidRDefault="00A13868" w:rsidP="001F310B">
      <w:pPr>
        <w:rPr>
          <w:rFonts w:asciiTheme="minorHAnsi" w:hAnsiTheme="minorHAnsi"/>
          <w:sz w:val="22"/>
          <w:szCs w:val="22"/>
        </w:rPr>
      </w:pPr>
    </w:p>
    <w:p w:rsidR="001A6E2B" w:rsidRPr="0008448B" w:rsidRDefault="00016A60" w:rsidP="001F310B">
      <w:pPr>
        <w:rPr>
          <w:rFonts w:asciiTheme="minorHAnsi" w:hAnsiTheme="minorHAnsi"/>
          <w:b/>
          <w:sz w:val="22"/>
          <w:szCs w:val="22"/>
        </w:rPr>
      </w:pPr>
      <w:r w:rsidRPr="0008448B">
        <w:rPr>
          <w:rFonts w:asciiTheme="minorHAnsi" w:hAnsiTheme="minorHAnsi"/>
          <w:b/>
          <w:sz w:val="22"/>
          <w:szCs w:val="22"/>
        </w:rPr>
        <w:t xml:space="preserve">IV. </w:t>
      </w:r>
      <w:r w:rsidR="00ED4690" w:rsidRPr="0008448B">
        <w:rPr>
          <w:rFonts w:asciiTheme="minorHAnsi" w:hAnsiTheme="minorHAnsi"/>
          <w:b/>
          <w:sz w:val="22"/>
          <w:szCs w:val="22"/>
        </w:rPr>
        <w:t>Goodness of fit and the importance of fitting method</w:t>
      </w:r>
    </w:p>
    <w:p w:rsidR="005F3AC9" w:rsidRPr="0008448B" w:rsidRDefault="005F3AC9" w:rsidP="004F5BAB">
      <w:pPr>
        <w:rPr>
          <w:rFonts w:asciiTheme="minorHAnsi" w:hAnsiTheme="minorHAnsi"/>
          <w:sz w:val="22"/>
          <w:szCs w:val="22"/>
        </w:rPr>
      </w:pPr>
    </w:p>
    <w:p w:rsidR="00C47226" w:rsidRDefault="005F3AC9" w:rsidP="004F5BAB">
      <w:pPr>
        <w:rPr>
          <w:rFonts w:asciiTheme="minorHAnsi" w:hAnsiTheme="minorHAnsi"/>
          <w:sz w:val="22"/>
          <w:szCs w:val="22"/>
        </w:rPr>
      </w:pPr>
      <w:r w:rsidRPr="0008448B">
        <w:rPr>
          <w:rFonts w:asciiTheme="minorHAnsi" w:hAnsiTheme="minorHAnsi"/>
          <w:sz w:val="22"/>
          <w:szCs w:val="22"/>
        </w:rPr>
        <w:t xml:space="preserve">Finally, to </w:t>
      </w:r>
      <w:r w:rsidR="00ED4690" w:rsidRPr="0008448B">
        <w:rPr>
          <w:rFonts w:asciiTheme="minorHAnsi" w:hAnsiTheme="minorHAnsi"/>
          <w:sz w:val="22"/>
          <w:szCs w:val="22"/>
        </w:rPr>
        <w:t>test goodness-of-fit</w:t>
      </w:r>
      <w:r w:rsidR="001A1D58" w:rsidRPr="0008448B">
        <w:rPr>
          <w:rFonts w:asciiTheme="minorHAnsi" w:hAnsiTheme="minorHAnsi"/>
          <w:sz w:val="22"/>
          <w:szCs w:val="22"/>
        </w:rPr>
        <w:t>,</w:t>
      </w:r>
      <w:r w:rsidR="00ED4690" w:rsidRPr="0008448B">
        <w:rPr>
          <w:rFonts w:asciiTheme="minorHAnsi" w:hAnsiTheme="minorHAnsi"/>
          <w:sz w:val="22"/>
          <w:szCs w:val="22"/>
        </w:rPr>
        <w:t xml:space="preserve"> all</w:t>
      </w:r>
      <w:r w:rsidR="00C47226">
        <w:rPr>
          <w:rFonts w:asciiTheme="minorHAnsi" w:hAnsiTheme="minorHAnsi"/>
          <w:sz w:val="22"/>
          <w:szCs w:val="22"/>
        </w:rPr>
        <w:t xml:space="preserve"> four</w:t>
      </w:r>
      <w:r w:rsidR="00ED4690" w:rsidRPr="0008448B">
        <w:rPr>
          <w:rFonts w:asciiTheme="minorHAnsi" w:hAnsiTheme="minorHAnsi"/>
          <w:sz w:val="22"/>
          <w:szCs w:val="22"/>
        </w:rPr>
        <w:t xml:space="preserve"> distributions for </w:t>
      </w:r>
      <w:r w:rsidR="001F18FF" w:rsidRPr="0008448B">
        <w:rPr>
          <w:rFonts w:asciiTheme="minorHAnsi" w:hAnsiTheme="minorHAnsi"/>
          <w:sz w:val="22"/>
          <w:szCs w:val="22"/>
        </w:rPr>
        <w:t>Malathion</w:t>
      </w:r>
      <w:r w:rsidR="00000BD6" w:rsidRPr="0008448B">
        <w:rPr>
          <w:rFonts w:asciiTheme="minorHAnsi" w:hAnsiTheme="minorHAnsi"/>
          <w:sz w:val="22"/>
          <w:szCs w:val="22"/>
        </w:rPr>
        <w:t xml:space="preserve"> were fit</w:t>
      </w:r>
      <w:r w:rsidR="00ED4690" w:rsidRPr="0008448B">
        <w:rPr>
          <w:rFonts w:asciiTheme="minorHAnsi" w:hAnsiTheme="minorHAnsi"/>
          <w:sz w:val="22"/>
          <w:szCs w:val="22"/>
        </w:rPr>
        <w:t xml:space="preserve"> and </w:t>
      </w:r>
      <w:r w:rsidR="00000BD6" w:rsidRPr="0008448B">
        <w:rPr>
          <w:rFonts w:asciiTheme="minorHAnsi" w:hAnsiTheme="minorHAnsi"/>
          <w:sz w:val="22"/>
          <w:szCs w:val="22"/>
        </w:rPr>
        <w:t xml:space="preserve">ran </w:t>
      </w:r>
      <w:r w:rsidR="00ED4690" w:rsidRPr="0008448B">
        <w:rPr>
          <w:rFonts w:asciiTheme="minorHAnsi" w:hAnsiTheme="minorHAnsi"/>
          <w:sz w:val="22"/>
          <w:szCs w:val="22"/>
        </w:rPr>
        <w:t xml:space="preserve">bootstrap goodness-of-fit tests with 10,000 bootstrap replicates. </w:t>
      </w:r>
      <w:r w:rsidR="00B738A9" w:rsidRPr="0008448B">
        <w:rPr>
          <w:rFonts w:asciiTheme="minorHAnsi" w:hAnsiTheme="minorHAnsi"/>
          <w:sz w:val="22"/>
          <w:szCs w:val="22"/>
        </w:rPr>
        <w:t>M</w:t>
      </w:r>
      <w:r w:rsidR="00ED4690" w:rsidRPr="0008448B">
        <w:rPr>
          <w:rFonts w:asciiTheme="minorHAnsi" w:hAnsiTheme="minorHAnsi"/>
          <w:sz w:val="22"/>
          <w:szCs w:val="22"/>
        </w:rPr>
        <w:t>aximum likelihood</w:t>
      </w:r>
      <w:r w:rsidR="00B738A9" w:rsidRPr="0008448B">
        <w:rPr>
          <w:rFonts w:asciiTheme="minorHAnsi" w:hAnsiTheme="minorHAnsi"/>
          <w:sz w:val="22"/>
          <w:szCs w:val="22"/>
        </w:rPr>
        <w:t xml:space="preserve"> (ML) was used. </w:t>
      </w:r>
      <w:r w:rsidR="00ED4690" w:rsidRPr="0008448B">
        <w:rPr>
          <w:rFonts w:asciiTheme="minorHAnsi" w:hAnsiTheme="minorHAnsi"/>
          <w:sz w:val="22"/>
          <w:szCs w:val="22"/>
        </w:rPr>
        <w:t xml:space="preserve">In general, the </w:t>
      </w:r>
      <w:r w:rsidR="006F6492" w:rsidRPr="0008448B">
        <w:rPr>
          <w:rFonts w:asciiTheme="minorHAnsi" w:hAnsiTheme="minorHAnsi"/>
          <w:sz w:val="22"/>
          <w:szCs w:val="22"/>
        </w:rPr>
        <w:t>best</w:t>
      </w:r>
      <w:r w:rsidR="00ED4690" w:rsidRPr="0008448B">
        <w:rPr>
          <w:rFonts w:asciiTheme="minorHAnsi" w:hAnsiTheme="minorHAnsi"/>
          <w:sz w:val="22"/>
          <w:szCs w:val="22"/>
        </w:rPr>
        <w:t xml:space="preserve"> distribution</w:t>
      </w:r>
      <w:r w:rsidR="006F6492" w:rsidRPr="0008448B">
        <w:rPr>
          <w:rFonts w:asciiTheme="minorHAnsi" w:hAnsiTheme="minorHAnsi"/>
          <w:sz w:val="22"/>
          <w:szCs w:val="22"/>
        </w:rPr>
        <w:t xml:space="preserve">, as </w:t>
      </w:r>
      <w:r w:rsidR="00ED4690" w:rsidRPr="0008448B">
        <w:rPr>
          <w:rFonts w:asciiTheme="minorHAnsi" w:hAnsiTheme="minorHAnsi"/>
          <w:sz w:val="22"/>
          <w:szCs w:val="22"/>
        </w:rPr>
        <w:t>determined by AIC</w:t>
      </w:r>
      <w:r w:rsidR="00ED4690" w:rsidRPr="0008448B">
        <w:rPr>
          <w:rFonts w:asciiTheme="minorHAnsi" w:hAnsiTheme="minorHAnsi"/>
          <w:sz w:val="22"/>
          <w:szCs w:val="22"/>
          <w:vertAlign w:val="subscript"/>
        </w:rPr>
        <w:t>c</w:t>
      </w:r>
      <w:r w:rsidR="006F6492" w:rsidRPr="0008448B">
        <w:rPr>
          <w:rFonts w:asciiTheme="minorHAnsi" w:hAnsiTheme="minorHAnsi"/>
          <w:sz w:val="22"/>
          <w:szCs w:val="22"/>
        </w:rPr>
        <w:t>,</w:t>
      </w:r>
      <w:r w:rsidR="00ED4690" w:rsidRPr="0008448B">
        <w:rPr>
          <w:rFonts w:asciiTheme="minorHAnsi" w:hAnsiTheme="minorHAnsi"/>
          <w:sz w:val="22"/>
          <w:szCs w:val="22"/>
        </w:rPr>
        <w:t xml:space="preserve"> also ha</w:t>
      </w:r>
      <w:r w:rsidR="00491D73" w:rsidRPr="0008448B">
        <w:rPr>
          <w:rFonts w:asciiTheme="minorHAnsi" w:hAnsiTheme="minorHAnsi"/>
          <w:sz w:val="22"/>
          <w:szCs w:val="22"/>
        </w:rPr>
        <w:t xml:space="preserve">d </w:t>
      </w:r>
      <w:r w:rsidR="00DE3D1C" w:rsidRPr="0008448B">
        <w:rPr>
          <w:rFonts w:asciiTheme="minorHAnsi" w:hAnsiTheme="minorHAnsi"/>
          <w:sz w:val="22"/>
          <w:szCs w:val="22"/>
        </w:rPr>
        <w:t>a lower</w:t>
      </w:r>
      <w:r w:rsidR="00ED4690" w:rsidRPr="0008448B">
        <w:rPr>
          <w:rFonts w:asciiTheme="minorHAnsi" w:hAnsiTheme="minorHAnsi"/>
          <w:sz w:val="22"/>
          <w:szCs w:val="22"/>
        </w:rPr>
        <w:t xml:space="preserve"> coefficient of variation for the HC</w:t>
      </w:r>
      <w:r w:rsidR="00ED4690" w:rsidRPr="0008448B">
        <w:rPr>
          <w:rFonts w:asciiTheme="minorHAnsi" w:hAnsiTheme="minorHAnsi"/>
          <w:sz w:val="22"/>
          <w:szCs w:val="22"/>
          <w:vertAlign w:val="subscript"/>
        </w:rPr>
        <w:t>05</w:t>
      </w:r>
      <w:r w:rsidR="00A012DF" w:rsidRPr="0008448B">
        <w:rPr>
          <w:rFonts w:asciiTheme="minorHAnsi" w:hAnsiTheme="minorHAnsi"/>
          <w:sz w:val="22"/>
          <w:szCs w:val="22"/>
        </w:rPr>
        <w:t xml:space="preserve"> (</w:t>
      </w:r>
      <w:r w:rsidR="00A012DF" w:rsidRPr="0008448B">
        <w:rPr>
          <w:rFonts w:asciiTheme="minorHAnsi" w:hAnsiTheme="minorHAnsi"/>
          <w:b/>
          <w:sz w:val="22"/>
          <w:szCs w:val="22"/>
        </w:rPr>
        <w:t>Table</w:t>
      </w:r>
      <w:r w:rsidR="0008448B" w:rsidRPr="0008448B">
        <w:rPr>
          <w:rFonts w:asciiTheme="minorHAnsi" w:hAnsiTheme="minorHAnsi"/>
          <w:b/>
          <w:sz w:val="22"/>
          <w:szCs w:val="22"/>
        </w:rPr>
        <w:t xml:space="preserve"> </w:t>
      </w:r>
      <w:r w:rsidR="0073587D" w:rsidRPr="0008448B">
        <w:rPr>
          <w:rFonts w:asciiTheme="minorHAnsi" w:hAnsiTheme="minorHAnsi"/>
          <w:b/>
          <w:sz w:val="22"/>
          <w:szCs w:val="22"/>
        </w:rPr>
        <w:t xml:space="preserve">B </w:t>
      </w:r>
      <w:r w:rsidR="0073587D">
        <w:rPr>
          <w:rFonts w:asciiTheme="minorHAnsi" w:hAnsiTheme="minorHAnsi"/>
          <w:b/>
          <w:sz w:val="22"/>
          <w:szCs w:val="22"/>
        </w:rPr>
        <w:t>2-8.</w:t>
      </w:r>
      <w:r w:rsidR="00C47226">
        <w:rPr>
          <w:rFonts w:asciiTheme="minorHAnsi" w:hAnsiTheme="minorHAnsi"/>
          <w:b/>
          <w:sz w:val="22"/>
          <w:szCs w:val="22"/>
        </w:rPr>
        <w:t>4</w:t>
      </w:r>
      <w:r w:rsidR="00A012DF" w:rsidRPr="0008448B">
        <w:rPr>
          <w:rFonts w:asciiTheme="minorHAnsi" w:hAnsiTheme="minorHAnsi"/>
          <w:sz w:val="22"/>
          <w:szCs w:val="22"/>
        </w:rPr>
        <w:t>)</w:t>
      </w:r>
      <w:r w:rsidR="00ED4690" w:rsidRPr="0008448B">
        <w:rPr>
          <w:rFonts w:asciiTheme="minorHAnsi" w:hAnsiTheme="minorHAnsi"/>
          <w:sz w:val="22"/>
          <w:szCs w:val="22"/>
        </w:rPr>
        <w:t xml:space="preserve">.  </w:t>
      </w:r>
    </w:p>
    <w:p w:rsidR="00C47226" w:rsidRDefault="00C47226" w:rsidP="004F5BAB">
      <w:pPr>
        <w:rPr>
          <w:rFonts w:asciiTheme="minorHAnsi" w:hAnsiTheme="minorHAnsi"/>
          <w:sz w:val="22"/>
          <w:szCs w:val="22"/>
        </w:rPr>
      </w:pPr>
    </w:p>
    <w:p w:rsidR="00FE197E" w:rsidRPr="0008448B" w:rsidRDefault="004F66BC" w:rsidP="004F5BAB">
      <w:pPr>
        <w:rPr>
          <w:rFonts w:asciiTheme="minorHAnsi" w:hAnsiTheme="minorHAnsi"/>
          <w:b/>
          <w:sz w:val="22"/>
          <w:szCs w:val="22"/>
        </w:rPr>
      </w:pPr>
      <w:r w:rsidRPr="0008448B">
        <w:rPr>
          <w:rFonts w:asciiTheme="minorHAnsi" w:hAnsiTheme="minorHAnsi"/>
          <w:b/>
          <w:sz w:val="22"/>
          <w:szCs w:val="22"/>
        </w:rPr>
        <w:t xml:space="preserve">Table </w:t>
      </w:r>
      <w:r w:rsidR="00714866" w:rsidRPr="0008448B">
        <w:rPr>
          <w:rFonts w:asciiTheme="minorHAnsi" w:hAnsiTheme="minorHAnsi"/>
          <w:b/>
          <w:sz w:val="22"/>
          <w:szCs w:val="22"/>
        </w:rPr>
        <w:t xml:space="preserve">B </w:t>
      </w:r>
      <w:r w:rsidR="00714866">
        <w:rPr>
          <w:rFonts w:asciiTheme="minorHAnsi" w:hAnsiTheme="minorHAnsi"/>
          <w:b/>
          <w:sz w:val="22"/>
          <w:szCs w:val="22"/>
        </w:rPr>
        <w:t>2-8.</w:t>
      </w:r>
      <w:r w:rsidR="00C47226">
        <w:rPr>
          <w:rFonts w:asciiTheme="minorHAnsi" w:hAnsiTheme="minorHAnsi"/>
          <w:b/>
          <w:sz w:val="22"/>
          <w:szCs w:val="22"/>
        </w:rPr>
        <w:t>4</w:t>
      </w:r>
      <w:r w:rsidR="00FE197E" w:rsidRPr="0008448B">
        <w:rPr>
          <w:rFonts w:asciiTheme="minorHAnsi" w:hAnsiTheme="minorHAnsi"/>
          <w:b/>
          <w:sz w:val="22"/>
          <w:szCs w:val="22"/>
        </w:rPr>
        <w:t xml:space="preserve">. Range of HC05 values for </w:t>
      </w:r>
      <w:r w:rsidR="001F18FF" w:rsidRPr="0008448B">
        <w:rPr>
          <w:rFonts w:asciiTheme="minorHAnsi" w:hAnsiTheme="minorHAnsi"/>
          <w:b/>
          <w:sz w:val="22"/>
          <w:szCs w:val="22"/>
        </w:rPr>
        <w:t>Malathion</w:t>
      </w:r>
      <w:r w:rsidR="00FE197E" w:rsidRPr="0008448B">
        <w:rPr>
          <w:rFonts w:asciiTheme="minorHAnsi" w:hAnsiTheme="minorHAnsi"/>
          <w:b/>
          <w:sz w:val="22"/>
          <w:szCs w:val="22"/>
        </w:rPr>
        <w:t xml:space="preserve"> SSDs fit to </w:t>
      </w:r>
      <w:r w:rsidR="00DC2269" w:rsidRPr="0008448B">
        <w:rPr>
          <w:rFonts w:asciiTheme="minorHAnsi" w:hAnsiTheme="minorHAnsi"/>
          <w:b/>
          <w:sz w:val="22"/>
          <w:szCs w:val="22"/>
        </w:rPr>
        <w:t>all</w:t>
      </w:r>
      <w:r w:rsidR="00FE197E" w:rsidRPr="0008448B">
        <w:rPr>
          <w:rFonts w:asciiTheme="minorHAnsi" w:hAnsiTheme="minorHAnsi"/>
          <w:b/>
          <w:sz w:val="22"/>
          <w:szCs w:val="22"/>
        </w:rPr>
        <w:t xml:space="preserve"> invertebrates.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6"/>
        <w:gridCol w:w="923"/>
        <w:gridCol w:w="876"/>
        <w:gridCol w:w="996"/>
        <w:gridCol w:w="996"/>
        <w:gridCol w:w="876"/>
        <w:gridCol w:w="996"/>
        <w:gridCol w:w="876"/>
      </w:tblGrid>
      <w:tr w:rsidR="00FE197E" w:rsidRPr="0008448B" w:rsidTr="00C47226"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FE197E" w:rsidRPr="0008448B" w:rsidRDefault="00FE197E" w:rsidP="00C95F28">
            <w:pPr>
              <w:rPr>
                <w:rFonts w:asciiTheme="minorHAnsi" w:hAnsiTheme="minorHAnsi"/>
                <w:sz w:val="22"/>
                <w:szCs w:val="22"/>
              </w:rPr>
            </w:pPr>
            <w:r w:rsidRPr="0008448B">
              <w:rPr>
                <w:rFonts w:asciiTheme="minorHAnsi" w:hAnsiTheme="minorHAnsi"/>
                <w:sz w:val="22"/>
                <w:szCs w:val="22"/>
              </w:rPr>
              <w:t>distribution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FE197E" w:rsidRPr="0008448B" w:rsidRDefault="00FE197E" w:rsidP="00C95F28">
            <w:pPr>
              <w:rPr>
                <w:rFonts w:asciiTheme="minorHAnsi" w:hAnsiTheme="minorHAnsi"/>
                <w:sz w:val="22"/>
                <w:szCs w:val="22"/>
              </w:rPr>
            </w:pPr>
            <w:r w:rsidRPr="0008448B">
              <w:rPr>
                <w:rFonts w:asciiTheme="minorHAnsi" w:hAnsiTheme="minorHAnsi"/>
                <w:sz w:val="22"/>
                <w:szCs w:val="22"/>
              </w:rPr>
              <w:t>method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FE197E" w:rsidRPr="0008448B" w:rsidRDefault="00FE197E" w:rsidP="00C95F28">
            <w:pPr>
              <w:rPr>
                <w:rFonts w:asciiTheme="minorHAnsi" w:hAnsiTheme="minorHAnsi"/>
                <w:sz w:val="22"/>
                <w:szCs w:val="22"/>
              </w:rPr>
            </w:pPr>
            <w:r w:rsidRPr="0008448B">
              <w:rPr>
                <w:rFonts w:asciiTheme="minorHAnsi" w:hAnsiTheme="minorHAnsi"/>
                <w:sz w:val="22"/>
                <w:szCs w:val="22"/>
              </w:rPr>
              <w:t>HC05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FE197E" w:rsidRPr="0008448B" w:rsidRDefault="00FE197E" w:rsidP="00C95F28">
            <w:pPr>
              <w:rPr>
                <w:rFonts w:asciiTheme="minorHAnsi" w:hAnsiTheme="minorHAnsi"/>
                <w:sz w:val="22"/>
                <w:szCs w:val="22"/>
              </w:rPr>
            </w:pPr>
            <w:r w:rsidRPr="0008448B">
              <w:rPr>
                <w:rFonts w:asciiTheme="minorHAnsi" w:hAnsiTheme="minorHAnsi"/>
                <w:sz w:val="22"/>
                <w:szCs w:val="22"/>
              </w:rPr>
              <w:t>SE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FE197E" w:rsidRPr="0008448B" w:rsidRDefault="00FE197E" w:rsidP="00C95F28">
            <w:pPr>
              <w:rPr>
                <w:rFonts w:asciiTheme="minorHAnsi" w:hAnsiTheme="minorHAnsi"/>
                <w:sz w:val="22"/>
                <w:szCs w:val="22"/>
              </w:rPr>
            </w:pPr>
            <w:r w:rsidRPr="0008448B">
              <w:rPr>
                <w:rFonts w:asciiTheme="minorHAnsi" w:hAnsiTheme="minorHAnsi"/>
                <w:sz w:val="22"/>
                <w:szCs w:val="22"/>
              </w:rPr>
              <w:t>CV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FE197E" w:rsidRPr="0008448B" w:rsidRDefault="00FE197E" w:rsidP="00C95F28">
            <w:pPr>
              <w:rPr>
                <w:rFonts w:asciiTheme="minorHAnsi" w:hAnsiTheme="minorHAnsi"/>
                <w:sz w:val="22"/>
                <w:szCs w:val="22"/>
              </w:rPr>
            </w:pPr>
            <w:r w:rsidRPr="0008448B">
              <w:rPr>
                <w:rFonts w:asciiTheme="minorHAnsi" w:hAnsiTheme="minorHAnsi"/>
                <w:sz w:val="22"/>
                <w:szCs w:val="22"/>
              </w:rPr>
              <w:t>LCL</w:t>
            </w:r>
          </w:p>
        </w:tc>
        <w:tc>
          <w:tcPr>
            <w:tcW w:w="996" w:type="dxa"/>
            <w:tcBorders>
              <w:top w:val="single" w:sz="12" w:space="0" w:color="auto"/>
              <w:bottom w:val="single" w:sz="12" w:space="0" w:color="auto"/>
            </w:tcBorders>
          </w:tcPr>
          <w:p w:rsidR="00FE197E" w:rsidRPr="0008448B" w:rsidRDefault="00FE197E" w:rsidP="00C95F28">
            <w:pPr>
              <w:rPr>
                <w:rFonts w:asciiTheme="minorHAnsi" w:hAnsiTheme="minorHAnsi"/>
                <w:sz w:val="22"/>
                <w:szCs w:val="22"/>
              </w:rPr>
            </w:pPr>
            <w:r w:rsidRPr="0008448B">
              <w:rPr>
                <w:rFonts w:asciiTheme="minorHAnsi" w:hAnsiTheme="minorHAnsi"/>
                <w:sz w:val="22"/>
                <w:szCs w:val="22"/>
              </w:rPr>
              <w:t>UCL</w:t>
            </w:r>
          </w:p>
        </w:tc>
        <w:tc>
          <w:tcPr>
            <w:tcW w:w="876" w:type="dxa"/>
            <w:tcBorders>
              <w:top w:val="single" w:sz="12" w:space="0" w:color="auto"/>
              <w:bottom w:val="single" w:sz="12" w:space="0" w:color="auto"/>
            </w:tcBorders>
          </w:tcPr>
          <w:p w:rsidR="00FE197E" w:rsidRPr="0008448B" w:rsidRDefault="00FE197E" w:rsidP="00C95F28">
            <w:pPr>
              <w:rPr>
                <w:rFonts w:asciiTheme="minorHAnsi" w:hAnsiTheme="minorHAnsi"/>
                <w:sz w:val="22"/>
                <w:szCs w:val="22"/>
              </w:rPr>
            </w:pPr>
            <w:r w:rsidRPr="0008448B">
              <w:rPr>
                <w:rFonts w:asciiTheme="minorHAnsi" w:hAnsiTheme="minorHAnsi"/>
                <w:sz w:val="22"/>
                <w:szCs w:val="22"/>
              </w:rPr>
              <w:t>P</w:t>
            </w:r>
          </w:p>
        </w:tc>
      </w:tr>
      <w:tr w:rsidR="00C47226" w:rsidRPr="0008448B" w:rsidTr="00C47226">
        <w:tc>
          <w:tcPr>
            <w:tcW w:w="0" w:type="auto"/>
            <w:tcBorders>
              <w:top w:val="single" w:sz="12" w:space="0" w:color="auto"/>
            </w:tcBorders>
            <w:vAlign w:val="bottom"/>
          </w:tcPr>
          <w:p w:rsidR="00C47226" w:rsidRPr="0008448B" w:rsidRDefault="00C47226" w:rsidP="00C4722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Normal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bottom"/>
          </w:tcPr>
          <w:p w:rsidR="00C47226" w:rsidRPr="0008448B" w:rsidRDefault="00C47226" w:rsidP="00C4722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8448B">
              <w:rPr>
                <w:rFonts w:asciiTheme="minorHAnsi" w:hAnsiTheme="minorHAnsi"/>
                <w:color w:val="000000"/>
                <w:sz w:val="22"/>
                <w:szCs w:val="22"/>
              </w:rPr>
              <w:t>ML</w:t>
            </w:r>
          </w:p>
        </w:tc>
        <w:tc>
          <w:tcPr>
            <w:tcW w:w="0" w:type="auto"/>
            <w:vAlign w:val="center"/>
          </w:tcPr>
          <w:p w:rsidR="00C47226" w:rsidRDefault="00C47226" w:rsidP="00C47226">
            <w:r>
              <w:t>0.1889</w:t>
            </w:r>
          </w:p>
        </w:tc>
        <w:tc>
          <w:tcPr>
            <w:tcW w:w="0" w:type="auto"/>
            <w:vAlign w:val="center"/>
          </w:tcPr>
          <w:p w:rsidR="00C47226" w:rsidRDefault="00C47226" w:rsidP="00C47226">
            <w:r>
              <w:t>8.2056</w:t>
            </w:r>
          </w:p>
        </w:tc>
        <w:tc>
          <w:tcPr>
            <w:tcW w:w="0" w:type="auto"/>
            <w:vAlign w:val="center"/>
          </w:tcPr>
          <w:p w:rsidR="00C47226" w:rsidRDefault="00C47226" w:rsidP="00C47226">
            <w:r>
              <w:t>43.4355</w:t>
            </w:r>
          </w:p>
        </w:tc>
        <w:tc>
          <w:tcPr>
            <w:tcW w:w="0" w:type="auto"/>
            <w:vAlign w:val="center"/>
          </w:tcPr>
          <w:p w:rsidR="00C47226" w:rsidRDefault="00C47226" w:rsidP="00C47226">
            <w:r>
              <w:t>0.0059</w:t>
            </w:r>
          </w:p>
        </w:tc>
        <w:tc>
          <w:tcPr>
            <w:tcW w:w="996" w:type="dxa"/>
            <w:vAlign w:val="center"/>
          </w:tcPr>
          <w:p w:rsidR="00C47226" w:rsidRDefault="00C47226" w:rsidP="00C47226">
            <w:r>
              <w:t>15.4644</w:t>
            </w:r>
          </w:p>
        </w:tc>
        <w:tc>
          <w:tcPr>
            <w:tcW w:w="876" w:type="dxa"/>
            <w:vAlign w:val="center"/>
          </w:tcPr>
          <w:p w:rsidR="00C47226" w:rsidRDefault="00C47226" w:rsidP="00C47226">
            <w:r>
              <w:t>0.2877</w:t>
            </w:r>
          </w:p>
        </w:tc>
      </w:tr>
      <w:tr w:rsidR="00C47226" w:rsidRPr="0008448B" w:rsidTr="00C47226">
        <w:tc>
          <w:tcPr>
            <w:tcW w:w="0" w:type="auto"/>
            <w:vAlign w:val="bottom"/>
          </w:tcPr>
          <w:p w:rsidR="00C47226" w:rsidRPr="0008448B" w:rsidRDefault="00C47226" w:rsidP="00C4722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Logistic</w:t>
            </w:r>
          </w:p>
        </w:tc>
        <w:tc>
          <w:tcPr>
            <w:tcW w:w="0" w:type="auto"/>
            <w:vAlign w:val="bottom"/>
          </w:tcPr>
          <w:p w:rsidR="00C47226" w:rsidRPr="0008448B" w:rsidRDefault="00C47226" w:rsidP="00C4722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8448B">
              <w:rPr>
                <w:rFonts w:asciiTheme="minorHAnsi" w:hAnsiTheme="minorHAnsi"/>
                <w:color w:val="000000"/>
                <w:sz w:val="22"/>
                <w:szCs w:val="22"/>
              </w:rPr>
              <w:t>ML</w:t>
            </w:r>
          </w:p>
        </w:tc>
        <w:tc>
          <w:tcPr>
            <w:tcW w:w="0" w:type="auto"/>
            <w:vAlign w:val="center"/>
          </w:tcPr>
          <w:p w:rsidR="00C47226" w:rsidRDefault="00C47226" w:rsidP="00C47226">
            <w:r>
              <w:t>0.1424</w:t>
            </w:r>
          </w:p>
        </w:tc>
        <w:tc>
          <w:tcPr>
            <w:tcW w:w="0" w:type="auto"/>
            <w:vAlign w:val="center"/>
          </w:tcPr>
          <w:p w:rsidR="00C47226" w:rsidRDefault="00C47226" w:rsidP="00C47226">
            <w:r>
              <w:t>4.5850</w:t>
            </w:r>
          </w:p>
        </w:tc>
        <w:tc>
          <w:tcPr>
            <w:tcW w:w="0" w:type="auto"/>
            <w:vAlign w:val="center"/>
          </w:tcPr>
          <w:p w:rsidR="00C47226" w:rsidRDefault="00C47226" w:rsidP="00C47226">
            <w:r>
              <w:t>32.2044</w:t>
            </w:r>
          </w:p>
        </w:tc>
        <w:tc>
          <w:tcPr>
            <w:tcW w:w="0" w:type="auto"/>
            <w:vAlign w:val="center"/>
          </w:tcPr>
          <w:p w:rsidR="00C47226" w:rsidRDefault="00C47226" w:rsidP="00C47226">
            <w:r>
              <w:t>0.0043</w:t>
            </w:r>
          </w:p>
        </w:tc>
        <w:tc>
          <w:tcPr>
            <w:tcW w:w="996" w:type="dxa"/>
            <w:vAlign w:val="center"/>
          </w:tcPr>
          <w:p w:rsidR="00C47226" w:rsidRDefault="00C47226" w:rsidP="00C47226">
            <w:r>
              <w:t>6.4450</w:t>
            </w:r>
          </w:p>
        </w:tc>
        <w:tc>
          <w:tcPr>
            <w:tcW w:w="876" w:type="dxa"/>
            <w:vAlign w:val="center"/>
          </w:tcPr>
          <w:p w:rsidR="00C47226" w:rsidRDefault="00C47226" w:rsidP="00C47226">
            <w:r>
              <w:t>0.2657</w:t>
            </w:r>
          </w:p>
        </w:tc>
      </w:tr>
      <w:tr w:rsidR="00C47226" w:rsidRPr="0008448B" w:rsidTr="00C47226">
        <w:tc>
          <w:tcPr>
            <w:tcW w:w="0" w:type="auto"/>
            <w:vAlign w:val="bottom"/>
          </w:tcPr>
          <w:p w:rsidR="00C47226" w:rsidRPr="0008448B" w:rsidRDefault="00C47226" w:rsidP="00C4722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Triangular</w:t>
            </w:r>
          </w:p>
        </w:tc>
        <w:tc>
          <w:tcPr>
            <w:tcW w:w="0" w:type="auto"/>
            <w:vAlign w:val="bottom"/>
          </w:tcPr>
          <w:p w:rsidR="00C47226" w:rsidRPr="0008448B" w:rsidRDefault="00C47226" w:rsidP="00C4722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8448B">
              <w:rPr>
                <w:rFonts w:asciiTheme="minorHAnsi" w:hAnsiTheme="minorHAnsi"/>
                <w:color w:val="000000"/>
                <w:sz w:val="22"/>
                <w:szCs w:val="22"/>
              </w:rPr>
              <w:t>ML</w:t>
            </w:r>
          </w:p>
        </w:tc>
        <w:tc>
          <w:tcPr>
            <w:tcW w:w="0" w:type="auto"/>
            <w:vAlign w:val="center"/>
          </w:tcPr>
          <w:p w:rsidR="00C47226" w:rsidRDefault="00C47226" w:rsidP="00C47226">
            <w:r>
              <w:t>0.3429</w:t>
            </w:r>
          </w:p>
        </w:tc>
        <w:tc>
          <w:tcPr>
            <w:tcW w:w="0" w:type="auto"/>
            <w:vAlign w:val="center"/>
          </w:tcPr>
          <w:p w:rsidR="00C47226" w:rsidRDefault="00C47226" w:rsidP="00C47226">
            <w:r>
              <w:t>17.4496</w:t>
            </w:r>
          </w:p>
        </w:tc>
        <w:tc>
          <w:tcPr>
            <w:tcW w:w="0" w:type="auto"/>
            <w:vAlign w:val="center"/>
          </w:tcPr>
          <w:p w:rsidR="00C47226" w:rsidRDefault="00C47226" w:rsidP="00C47226">
            <w:r>
              <w:t>50.8841</w:t>
            </w:r>
          </w:p>
        </w:tc>
        <w:tc>
          <w:tcPr>
            <w:tcW w:w="0" w:type="auto"/>
            <w:vAlign w:val="center"/>
          </w:tcPr>
          <w:p w:rsidR="00C47226" w:rsidRDefault="00C47226" w:rsidP="00C47226">
            <w:r>
              <w:t>0.0479</w:t>
            </w:r>
          </w:p>
        </w:tc>
        <w:tc>
          <w:tcPr>
            <w:tcW w:w="996" w:type="dxa"/>
            <w:vAlign w:val="center"/>
          </w:tcPr>
          <w:p w:rsidR="00C47226" w:rsidRDefault="00C47226" w:rsidP="00C47226">
            <w:r>
              <w:t>33.1623</w:t>
            </w:r>
          </w:p>
        </w:tc>
        <w:tc>
          <w:tcPr>
            <w:tcW w:w="876" w:type="dxa"/>
            <w:vAlign w:val="center"/>
          </w:tcPr>
          <w:p w:rsidR="00C47226" w:rsidRDefault="00C47226" w:rsidP="00C47226">
            <w:r>
              <w:t>0.4086</w:t>
            </w:r>
          </w:p>
        </w:tc>
      </w:tr>
      <w:tr w:rsidR="00C47226" w:rsidRPr="0008448B" w:rsidTr="00C47226">
        <w:tc>
          <w:tcPr>
            <w:tcW w:w="0" w:type="auto"/>
            <w:vAlign w:val="bottom"/>
          </w:tcPr>
          <w:p w:rsidR="00C47226" w:rsidRPr="0008448B" w:rsidRDefault="00C47226" w:rsidP="00C4722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Gumbel</w:t>
            </w:r>
          </w:p>
        </w:tc>
        <w:tc>
          <w:tcPr>
            <w:tcW w:w="0" w:type="auto"/>
            <w:vAlign w:val="bottom"/>
          </w:tcPr>
          <w:p w:rsidR="00C47226" w:rsidRPr="0008448B" w:rsidRDefault="00C47226" w:rsidP="00C4722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8448B">
              <w:rPr>
                <w:rFonts w:asciiTheme="minorHAnsi" w:hAnsiTheme="minorHAnsi"/>
                <w:color w:val="000000"/>
                <w:sz w:val="22"/>
                <w:szCs w:val="22"/>
              </w:rPr>
              <w:t>ML</w:t>
            </w:r>
          </w:p>
        </w:tc>
        <w:tc>
          <w:tcPr>
            <w:tcW w:w="0" w:type="auto"/>
            <w:vAlign w:val="center"/>
          </w:tcPr>
          <w:p w:rsidR="00C47226" w:rsidRPr="005424C4" w:rsidRDefault="00C47226" w:rsidP="00C47226">
            <w:pPr>
              <w:rPr>
                <w:b/>
              </w:rPr>
            </w:pPr>
            <w:r w:rsidRPr="005424C4">
              <w:rPr>
                <w:b/>
              </w:rPr>
              <w:t>1.0308</w:t>
            </w:r>
          </w:p>
        </w:tc>
        <w:tc>
          <w:tcPr>
            <w:tcW w:w="0" w:type="auto"/>
            <w:vAlign w:val="center"/>
          </w:tcPr>
          <w:p w:rsidR="00C47226" w:rsidRPr="005424C4" w:rsidRDefault="00C47226" w:rsidP="00C47226">
            <w:pPr>
              <w:rPr>
                <w:b/>
              </w:rPr>
            </w:pPr>
            <w:r w:rsidRPr="005424C4">
              <w:rPr>
                <w:b/>
              </w:rPr>
              <w:t>3.3532</w:t>
            </w:r>
          </w:p>
        </w:tc>
        <w:tc>
          <w:tcPr>
            <w:tcW w:w="0" w:type="auto"/>
            <w:vAlign w:val="center"/>
          </w:tcPr>
          <w:p w:rsidR="00C47226" w:rsidRPr="005424C4" w:rsidRDefault="00C47226" w:rsidP="00C47226">
            <w:pPr>
              <w:rPr>
                <w:b/>
              </w:rPr>
            </w:pPr>
            <w:r w:rsidRPr="005424C4">
              <w:rPr>
                <w:b/>
              </w:rPr>
              <w:t>3.2531</w:t>
            </w:r>
          </w:p>
        </w:tc>
        <w:tc>
          <w:tcPr>
            <w:tcW w:w="0" w:type="auto"/>
            <w:vAlign w:val="center"/>
          </w:tcPr>
          <w:p w:rsidR="00C47226" w:rsidRPr="005424C4" w:rsidRDefault="00C47226" w:rsidP="00C47226">
            <w:pPr>
              <w:rPr>
                <w:b/>
              </w:rPr>
            </w:pPr>
            <w:r w:rsidRPr="005424C4">
              <w:rPr>
                <w:b/>
              </w:rPr>
              <w:t>0.2592</w:t>
            </w:r>
          </w:p>
        </w:tc>
        <w:tc>
          <w:tcPr>
            <w:tcW w:w="996" w:type="dxa"/>
            <w:vAlign w:val="center"/>
          </w:tcPr>
          <w:p w:rsidR="00C47226" w:rsidRPr="005424C4" w:rsidRDefault="00C47226" w:rsidP="00C47226">
            <w:pPr>
              <w:rPr>
                <w:b/>
              </w:rPr>
            </w:pPr>
            <w:r w:rsidRPr="005424C4">
              <w:rPr>
                <w:b/>
              </w:rPr>
              <w:t>10.9675</w:t>
            </w:r>
          </w:p>
        </w:tc>
        <w:tc>
          <w:tcPr>
            <w:tcW w:w="876" w:type="dxa"/>
            <w:vAlign w:val="center"/>
          </w:tcPr>
          <w:p w:rsidR="00C47226" w:rsidRPr="005424C4" w:rsidRDefault="00C47226" w:rsidP="00C47226">
            <w:pPr>
              <w:rPr>
                <w:b/>
              </w:rPr>
            </w:pPr>
            <w:r w:rsidRPr="005424C4">
              <w:rPr>
                <w:b/>
              </w:rPr>
              <w:t>0.5195</w:t>
            </w:r>
          </w:p>
        </w:tc>
      </w:tr>
    </w:tbl>
    <w:p w:rsidR="00FE197E" w:rsidRPr="0008448B" w:rsidRDefault="00FE197E" w:rsidP="00FE197E">
      <w:pPr>
        <w:rPr>
          <w:rFonts w:asciiTheme="minorHAnsi" w:hAnsiTheme="minorHAnsi"/>
          <w:sz w:val="22"/>
          <w:szCs w:val="22"/>
        </w:rPr>
      </w:pPr>
    </w:p>
    <w:p w:rsidR="00DC2269" w:rsidRPr="0008448B" w:rsidRDefault="00DC2269" w:rsidP="00DC2269">
      <w:pPr>
        <w:rPr>
          <w:rFonts w:asciiTheme="minorHAnsi" w:hAnsiTheme="minorHAnsi"/>
          <w:sz w:val="22"/>
          <w:szCs w:val="22"/>
        </w:rPr>
      </w:pPr>
    </w:p>
    <w:p w:rsidR="004A75F7" w:rsidRPr="0008448B" w:rsidRDefault="00016A60" w:rsidP="0096322C">
      <w:pPr>
        <w:rPr>
          <w:rFonts w:asciiTheme="minorHAnsi" w:hAnsiTheme="minorHAnsi"/>
          <w:b/>
          <w:sz w:val="22"/>
          <w:szCs w:val="22"/>
        </w:rPr>
      </w:pPr>
      <w:r w:rsidRPr="0008448B">
        <w:rPr>
          <w:rFonts w:asciiTheme="minorHAnsi" w:hAnsiTheme="minorHAnsi"/>
          <w:b/>
          <w:sz w:val="22"/>
          <w:szCs w:val="22"/>
        </w:rPr>
        <w:t xml:space="preserve">V. </w:t>
      </w:r>
      <w:r w:rsidR="004A75F7" w:rsidRPr="0008448B">
        <w:rPr>
          <w:rFonts w:asciiTheme="minorHAnsi" w:hAnsiTheme="minorHAnsi"/>
          <w:b/>
          <w:sz w:val="22"/>
          <w:szCs w:val="22"/>
        </w:rPr>
        <w:t>Calculation of other quantiles</w:t>
      </w:r>
    </w:p>
    <w:p w:rsidR="001A1D58" w:rsidRPr="0008448B" w:rsidRDefault="001A1D58" w:rsidP="0096322C">
      <w:pPr>
        <w:rPr>
          <w:rFonts w:asciiTheme="minorHAnsi" w:hAnsiTheme="minorHAnsi"/>
          <w:sz w:val="22"/>
          <w:szCs w:val="22"/>
        </w:rPr>
      </w:pPr>
    </w:p>
    <w:p w:rsidR="004A75F7" w:rsidRPr="0008448B" w:rsidRDefault="004A75F7" w:rsidP="0096322C">
      <w:pPr>
        <w:rPr>
          <w:rFonts w:asciiTheme="minorHAnsi" w:hAnsiTheme="minorHAnsi"/>
          <w:sz w:val="22"/>
          <w:szCs w:val="22"/>
        </w:rPr>
      </w:pPr>
      <w:r w:rsidRPr="0008448B">
        <w:rPr>
          <w:rFonts w:asciiTheme="minorHAnsi" w:hAnsiTheme="minorHAnsi"/>
          <w:b/>
          <w:sz w:val="22"/>
          <w:szCs w:val="22"/>
        </w:rPr>
        <w:t>Table</w:t>
      </w:r>
      <w:r w:rsidR="0008448B" w:rsidRPr="0008448B">
        <w:rPr>
          <w:rFonts w:asciiTheme="minorHAnsi" w:hAnsiTheme="minorHAnsi"/>
          <w:b/>
          <w:sz w:val="22"/>
          <w:szCs w:val="22"/>
        </w:rPr>
        <w:t xml:space="preserve"> </w:t>
      </w:r>
      <w:r w:rsidR="00714866" w:rsidRPr="0008448B">
        <w:rPr>
          <w:rFonts w:asciiTheme="minorHAnsi" w:hAnsiTheme="minorHAnsi"/>
          <w:b/>
          <w:sz w:val="22"/>
          <w:szCs w:val="22"/>
        </w:rPr>
        <w:t xml:space="preserve">B </w:t>
      </w:r>
      <w:r w:rsidR="00714866">
        <w:rPr>
          <w:rFonts w:asciiTheme="minorHAnsi" w:hAnsiTheme="minorHAnsi"/>
          <w:b/>
          <w:sz w:val="22"/>
          <w:szCs w:val="22"/>
        </w:rPr>
        <w:t>2-8.</w:t>
      </w:r>
      <w:r w:rsidR="00C47226">
        <w:rPr>
          <w:rFonts w:asciiTheme="minorHAnsi" w:hAnsiTheme="minorHAnsi"/>
          <w:b/>
          <w:sz w:val="22"/>
          <w:szCs w:val="22"/>
        </w:rPr>
        <w:t>5</w:t>
      </w:r>
      <w:r w:rsidRPr="0008448B">
        <w:rPr>
          <w:rFonts w:asciiTheme="minorHAnsi" w:hAnsiTheme="minorHAnsi"/>
          <w:sz w:val="22"/>
          <w:szCs w:val="22"/>
        </w:rPr>
        <w:t xml:space="preserve"> provide estimates of the HC05 as well as other quantiles of the fitted SSDs.</w:t>
      </w:r>
    </w:p>
    <w:p w:rsidR="004A75F7" w:rsidRPr="0008448B" w:rsidRDefault="004A75F7" w:rsidP="0096322C">
      <w:pPr>
        <w:rPr>
          <w:rFonts w:asciiTheme="minorHAnsi" w:hAnsiTheme="minorHAnsi"/>
          <w:sz w:val="22"/>
          <w:szCs w:val="22"/>
        </w:rPr>
      </w:pPr>
    </w:p>
    <w:p w:rsidR="004A75F7" w:rsidRPr="0008448B" w:rsidRDefault="004F66BC" w:rsidP="0096322C">
      <w:pPr>
        <w:rPr>
          <w:rFonts w:asciiTheme="minorHAnsi" w:hAnsiTheme="minorHAnsi"/>
          <w:b/>
          <w:sz w:val="22"/>
          <w:szCs w:val="22"/>
        </w:rPr>
      </w:pPr>
      <w:r w:rsidRPr="0008448B">
        <w:rPr>
          <w:rFonts w:asciiTheme="minorHAnsi" w:hAnsiTheme="minorHAnsi"/>
          <w:b/>
          <w:sz w:val="22"/>
          <w:szCs w:val="22"/>
        </w:rPr>
        <w:t xml:space="preserve">Table </w:t>
      </w:r>
      <w:r w:rsidR="00714866" w:rsidRPr="0008448B">
        <w:rPr>
          <w:rFonts w:asciiTheme="minorHAnsi" w:hAnsiTheme="minorHAnsi"/>
          <w:b/>
          <w:sz w:val="22"/>
          <w:szCs w:val="22"/>
        </w:rPr>
        <w:t xml:space="preserve">B </w:t>
      </w:r>
      <w:r w:rsidR="00714866">
        <w:rPr>
          <w:rFonts w:asciiTheme="minorHAnsi" w:hAnsiTheme="minorHAnsi"/>
          <w:b/>
          <w:sz w:val="22"/>
          <w:szCs w:val="22"/>
        </w:rPr>
        <w:t>2-8.</w:t>
      </w:r>
      <w:r w:rsidR="00C47226">
        <w:rPr>
          <w:rFonts w:asciiTheme="minorHAnsi" w:hAnsiTheme="minorHAnsi"/>
          <w:b/>
          <w:sz w:val="22"/>
          <w:szCs w:val="22"/>
        </w:rPr>
        <w:t>5</w:t>
      </w:r>
      <w:r w:rsidR="004A75F7" w:rsidRPr="0008448B">
        <w:rPr>
          <w:rFonts w:asciiTheme="minorHAnsi" w:hAnsiTheme="minorHAnsi"/>
          <w:b/>
          <w:sz w:val="22"/>
          <w:szCs w:val="22"/>
        </w:rPr>
        <w:t xml:space="preserve">.  Estimated quantiles of the fitted SSDs for </w:t>
      </w:r>
      <w:r w:rsidR="005255F4" w:rsidRPr="0008448B">
        <w:rPr>
          <w:rFonts w:asciiTheme="minorHAnsi" w:hAnsiTheme="minorHAnsi"/>
          <w:b/>
          <w:sz w:val="22"/>
          <w:szCs w:val="22"/>
        </w:rPr>
        <w:t>pooled</w:t>
      </w:r>
      <w:r w:rsidR="004A75F7" w:rsidRPr="0008448B">
        <w:rPr>
          <w:rFonts w:asciiTheme="minorHAnsi" w:hAnsiTheme="minorHAnsi"/>
          <w:b/>
          <w:sz w:val="22"/>
          <w:szCs w:val="22"/>
        </w:rPr>
        <w:t xml:space="preserve"> toxicity tests for </w:t>
      </w:r>
      <w:r w:rsidR="001F18FF" w:rsidRPr="0008448B">
        <w:rPr>
          <w:rFonts w:asciiTheme="minorHAnsi" w:hAnsiTheme="minorHAnsi"/>
          <w:b/>
          <w:sz w:val="22"/>
          <w:szCs w:val="22"/>
        </w:rPr>
        <w:t>Malathion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923"/>
        <w:gridCol w:w="876"/>
        <w:gridCol w:w="876"/>
        <w:gridCol w:w="996"/>
        <w:gridCol w:w="1358"/>
        <w:gridCol w:w="1358"/>
      </w:tblGrid>
      <w:tr w:rsidR="004A75F7" w:rsidRPr="0008448B" w:rsidTr="00A60F59"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A75F7" w:rsidRPr="0008448B" w:rsidRDefault="004A75F7" w:rsidP="00D904FE">
            <w:pPr>
              <w:rPr>
                <w:rFonts w:asciiTheme="minorHAnsi" w:hAnsiTheme="minorHAnsi"/>
                <w:sz w:val="22"/>
                <w:szCs w:val="22"/>
              </w:rPr>
            </w:pPr>
            <w:r w:rsidRPr="0008448B">
              <w:rPr>
                <w:rFonts w:asciiTheme="minorHAnsi" w:hAnsiTheme="minorHAnsi"/>
                <w:sz w:val="22"/>
                <w:szCs w:val="22"/>
              </w:rPr>
              <w:t>dist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A75F7" w:rsidRPr="0008448B" w:rsidRDefault="004A75F7" w:rsidP="00D904FE">
            <w:pPr>
              <w:rPr>
                <w:rFonts w:asciiTheme="minorHAnsi" w:hAnsiTheme="minorHAnsi"/>
                <w:sz w:val="22"/>
                <w:szCs w:val="22"/>
              </w:rPr>
            </w:pPr>
            <w:r w:rsidRPr="0008448B">
              <w:rPr>
                <w:rFonts w:asciiTheme="minorHAnsi" w:hAnsiTheme="minorHAnsi"/>
                <w:sz w:val="22"/>
                <w:szCs w:val="22"/>
              </w:rPr>
              <w:t>method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A75F7" w:rsidRPr="0008448B" w:rsidRDefault="004A75F7" w:rsidP="00D904FE">
            <w:pPr>
              <w:rPr>
                <w:rFonts w:asciiTheme="minorHAnsi" w:hAnsiTheme="minorHAnsi"/>
                <w:sz w:val="22"/>
                <w:szCs w:val="22"/>
              </w:rPr>
            </w:pPr>
            <w:r w:rsidRPr="0008448B">
              <w:rPr>
                <w:rFonts w:asciiTheme="minorHAnsi" w:hAnsiTheme="minorHAnsi"/>
                <w:sz w:val="22"/>
                <w:szCs w:val="22"/>
              </w:rPr>
              <w:t>HC05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A75F7" w:rsidRPr="0008448B" w:rsidRDefault="004A75F7" w:rsidP="00D904FE">
            <w:pPr>
              <w:rPr>
                <w:rFonts w:asciiTheme="minorHAnsi" w:hAnsiTheme="minorHAnsi"/>
                <w:sz w:val="22"/>
                <w:szCs w:val="22"/>
              </w:rPr>
            </w:pPr>
            <w:r w:rsidRPr="0008448B">
              <w:rPr>
                <w:rFonts w:asciiTheme="minorHAnsi" w:hAnsiTheme="minorHAnsi"/>
                <w:sz w:val="22"/>
                <w:szCs w:val="22"/>
              </w:rPr>
              <w:t>HC10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A75F7" w:rsidRPr="0008448B" w:rsidRDefault="004A75F7" w:rsidP="00D904FE">
            <w:pPr>
              <w:rPr>
                <w:rFonts w:asciiTheme="minorHAnsi" w:hAnsiTheme="minorHAnsi"/>
                <w:sz w:val="22"/>
                <w:szCs w:val="22"/>
              </w:rPr>
            </w:pPr>
            <w:r w:rsidRPr="0008448B">
              <w:rPr>
                <w:rFonts w:asciiTheme="minorHAnsi" w:hAnsiTheme="minorHAnsi"/>
                <w:sz w:val="22"/>
                <w:szCs w:val="22"/>
              </w:rPr>
              <w:t>HC50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A75F7" w:rsidRPr="0008448B" w:rsidRDefault="004A75F7" w:rsidP="00D904FE">
            <w:pPr>
              <w:rPr>
                <w:rFonts w:asciiTheme="minorHAnsi" w:hAnsiTheme="minorHAnsi"/>
                <w:sz w:val="22"/>
                <w:szCs w:val="22"/>
              </w:rPr>
            </w:pPr>
            <w:r w:rsidRPr="0008448B">
              <w:rPr>
                <w:rFonts w:asciiTheme="minorHAnsi" w:hAnsiTheme="minorHAnsi"/>
                <w:sz w:val="22"/>
                <w:szCs w:val="22"/>
              </w:rPr>
              <w:t>HC90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4A75F7" w:rsidRPr="0008448B" w:rsidRDefault="004A75F7" w:rsidP="00D904FE">
            <w:pPr>
              <w:rPr>
                <w:rFonts w:asciiTheme="minorHAnsi" w:hAnsiTheme="minorHAnsi"/>
                <w:sz w:val="22"/>
                <w:szCs w:val="22"/>
              </w:rPr>
            </w:pPr>
            <w:r w:rsidRPr="0008448B">
              <w:rPr>
                <w:rFonts w:asciiTheme="minorHAnsi" w:hAnsiTheme="minorHAnsi"/>
                <w:sz w:val="22"/>
                <w:szCs w:val="22"/>
              </w:rPr>
              <w:t>HC95</w:t>
            </w:r>
          </w:p>
        </w:tc>
      </w:tr>
      <w:tr w:rsidR="00C47226" w:rsidRPr="0008448B" w:rsidTr="009B3C9B">
        <w:tc>
          <w:tcPr>
            <w:tcW w:w="0" w:type="auto"/>
            <w:tcBorders>
              <w:top w:val="single" w:sz="12" w:space="0" w:color="auto"/>
            </w:tcBorders>
            <w:vAlign w:val="bottom"/>
          </w:tcPr>
          <w:p w:rsidR="00C47226" w:rsidRPr="0008448B" w:rsidRDefault="00C47226" w:rsidP="00C4722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Normal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bottom"/>
          </w:tcPr>
          <w:p w:rsidR="00C47226" w:rsidRPr="0008448B" w:rsidRDefault="00C47226" w:rsidP="00C4722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8448B">
              <w:rPr>
                <w:rFonts w:asciiTheme="minorHAnsi" w:hAnsiTheme="minorHAnsi"/>
                <w:color w:val="000000"/>
                <w:sz w:val="22"/>
                <w:szCs w:val="22"/>
              </w:rPr>
              <w:t>ML</w:t>
            </w:r>
          </w:p>
        </w:tc>
        <w:tc>
          <w:tcPr>
            <w:tcW w:w="0" w:type="auto"/>
            <w:vAlign w:val="center"/>
          </w:tcPr>
          <w:p w:rsidR="00C47226" w:rsidRDefault="00C47226" w:rsidP="00C47226">
            <w:r>
              <w:t>0.1889</w:t>
            </w:r>
          </w:p>
        </w:tc>
        <w:tc>
          <w:tcPr>
            <w:tcW w:w="0" w:type="auto"/>
            <w:vAlign w:val="center"/>
          </w:tcPr>
          <w:p w:rsidR="00C47226" w:rsidRDefault="00C47226" w:rsidP="00C47226">
            <w:r>
              <w:t>0.5882</w:t>
            </w:r>
          </w:p>
        </w:tc>
        <w:tc>
          <w:tcPr>
            <w:tcW w:w="0" w:type="auto"/>
            <w:vAlign w:val="center"/>
          </w:tcPr>
          <w:p w:rsidR="00C47226" w:rsidRDefault="00C47226" w:rsidP="00C47226">
            <w:r>
              <w:t>32.3290</w:t>
            </w:r>
          </w:p>
        </w:tc>
        <w:tc>
          <w:tcPr>
            <w:tcW w:w="0" w:type="auto"/>
            <w:vAlign w:val="center"/>
          </w:tcPr>
          <w:p w:rsidR="00C47226" w:rsidRDefault="00C47226" w:rsidP="00C47226">
            <w:r>
              <w:t>1.7768e+03</w:t>
            </w:r>
          </w:p>
        </w:tc>
        <w:tc>
          <w:tcPr>
            <w:tcW w:w="0" w:type="auto"/>
            <w:vAlign w:val="center"/>
          </w:tcPr>
          <w:p w:rsidR="00C47226" w:rsidRDefault="00C47226" w:rsidP="00C47226">
            <w:r>
              <w:t>5.5324e+03</w:t>
            </w:r>
          </w:p>
        </w:tc>
      </w:tr>
      <w:tr w:rsidR="00C47226" w:rsidRPr="0008448B" w:rsidTr="009B3C9B">
        <w:tc>
          <w:tcPr>
            <w:tcW w:w="0" w:type="auto"/>
            <w:vAlign w:val="bottom"/>
          </w:tcPr>
          <w:p w:rsidR="00C47226" w:rsidRPr="0008448B" w:rsidRDefault="00C47226" w:rsidP="00C4722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Logistic</w:t>
            </w:r>
          </w:p>
        </w:tc>
        <w:tc>
          <w:tcPr>
            <w:tcW w:w="0" w:type="auto"/>
            <w:vAlign w:val="bottom"/>
          </w:tcPr>
          <w:p w:rsidR="00C47226" w:rsidRPr="0008448B" w:rsidRDefault="00C47226" w:rsidP="00C4722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8448B">
              <w:rPr>
                <w:rFonts w:asciiTheme="minorHAnsi" w:hAnsiTheme="minorHAnsi"/>
                <w:color w:val="000000"/>
                <w:sz w:val="22"/>
                <w:szCs w:val="22"/>
              </w:rPr>
              <w:t>ML</w:t>
            </w:r>
          </w:p>
        </w:tc>
        <w:tc>
          <w:tcPr>
            <w:tcW w:w="0" w:type="auto"/>
            <w:vAlign w:val="center"/>
          </w:tcPr>
          <w:p w:rsidR="00C47226" w:rsidRDefault="00C47226" w:rsidP="00C47226">
            <w:r>
              <w:t>0.1424</w:t>
            </w:r>
          </w:p>
        </w:tc>
        <w:tc>
          <w:tcPr>
            <w:tcW w:w="0" w:type="auto"/>
            <w:vAlign w:val="center"/>
          </w:tcPr>
          <w:p w:rsidR="00C47226" w:rsidRDefault="00C47226" w:rsidP="00C47226">
            <w:r>
              <w:t>0.4874</w:t>
            </w:r>
          </w:p>
        </w:tc>
        <w:tc>
          <w:tcPr>
            <w:tcW w:w="0" w:type="auto"/>
            <w:vAlign w:val="center"/>
          </w:tcPr>
          <w:p w:rsidR="00C47226" w:rsidRDefault="00C47226" w:rsidP="00C47226">
            <w:r>
              <w:t>18.1719</w:t>
            </w:r>
          </w:p>
        </w:tc>
        <w:tc>
          <w:tcPr>
            <w:tcW w:w="0" w:type="auto"/>
            <w:vAlign w:val="center"/>
          </w:tcPr>
          <w:p w:rsidR="00C47226" w:rsidRDefault="00C47226" w:rsidP="00C47226">
            <w:r>
              <w:t>677.5533</w:t>
            </w:r>
          </w:p>
        </w:tc>
        <w:tc>
          <w:tcPr>
            <w:tcW w:w="0" w:type="auto"/>
            <w:vAlign w:val="center"/>
          </w:tcPr>
          <w:p w:rsidR="00C47226" w:rsidRDefault="00C47226" w:rsidP="00C47226">
            <w:r>
              <w:t>2.3194e+03</w:t>
            </w:r>
          </w:p>
        </w:tc>
      </w:tr>
      <w:tr w:rsidR="00C47226" w:rsidRPr="0008448B" w:rsidTr="009B3C9B">
        <w:tc>
          <w:tcPr>
            <w:tcW w:w="0" w:type="auto"/>
            <w:vAlign w:val="bottom"/>
          </w:tcPr>
          <w:p w:rsidR="00C47226" w:rsidRPr="0008448B" w:rsidRDefault="00C47226" w:rsidP="00C4722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Triangular</w:t>
            </w:r>
          </w:p>
        </w:tc>
        <w:tc>
          <w:tcPr>
            <w:tcW w:w="0" w:type="auto"/>
            <w:vAlign w:val="bottom"/>
          </w:tcPr>
          <w:p w:rsidR="00C47226" w:rsidRPr="0008448B" w:rsidRDefault="00C47226" w:rsidP="00C4722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8448B">
              <w:rPr>
                <w:rFonts w:asciiTheme="minorHAnsi" w:hAnsiTheme="minorHAnsi"/>
                <w:color w:val="000000"/>
                <w:sz w:val="22"/>
                <w:szCs w:val="22"/>
              </w:rPr>
              <w:t>ML</w:t>
            </w:r>
          </w:p>
        </w:tc>
        <w:tc>
          <w:tcPr>
            <w:tcW w:w="0" w:type="auto"/>
            <w:vAlign w:val="center"/>
          </w:tcPr>
          <w:p w:rsidR="00C47226" w:rsidRDefault="00C47226" w:rsidP="00C47226">
            <w:r>
              <w:t>0.3429</w:t>
            </w:r>
          </w:p>
        </w:tc>
        <w:tc>
          <w:tcPr>
            <w:tcW w:w="0" w:type="auto"/>
            <w:vAlign w:val="center"/>
          </w:tcPr>
          <w:p w:rsidR="00C47226" w:rsidRDefault="00C47226" w:rsidP="00C47226">
            <w:r>
              <w:t>0.9080</w:t>
            </w:r>
          </w:p>
        </w:tc>
        <w:tc>
          <w:tcPr>
            <w:tcW w:w="0" w:type="auto"/>
            <w:vAlign w:val="center"/>
          </w:tcPr>
          <w:p w:rsidR="00C47226" w:rsidRDefault="00C47226" w:rsidP="00C47226">
            <w:r>
              <w:t>55.3102</w:t>
            </w:r>
          </w:p>
        </w:tc>
        <w:tc>
          <w:tcPr>
            <w:tcW w:w="0" w:type="auto"/>
            <w:vAlign w:val="center"/>
          </w:tcPr>
          <w:p w:rsidR="00C47226" w:rsidRDefault="00C47226" w:rsidP="00C47226">
            <w:r>
              <w:t>3.3691e+03</w:t>
            </w:r>
          </w:p>
        </w:tc>
        <w:tc>
          <w:tcPr>
            <w:tcW w:w="0" w:type="auto"/>
            <w:vAlign w:val="center"/>
          </w:tcPr>
          <w:p w:rsidR="00C47226" w:rsidRDefault="00C47226" w:rsidP="00C47226">
            <w:r>
              <w:t>8.9209e+03</w:t>
            </w:r>
          </w:p>
        </w:tc>
      </w:tr>
      <w:tr w:rsidR="00C47226" w:rsidRPr="0008448B" w:rsidTr="009B3C9B">
        <w:tc>
          <w:tcPr>
            <w:tcW w:w="0" w:type="auto"/>
            <w:vAlign w:val="bottom"/>
          </w:tcPr>
          <w:p w:rsidR="00C47226" w:rsidRPr="0008448B" w:rsidRDefault="00C47226" w:rsidP="00C4722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Gumbel</w:t>
            </w:r>
          </w:p>
        </w:tc>
        <w:tc>
          <w:tcPr>
            <w:tcW w:w="0" w:type="auto"/>
            <w:vAlign w:val="bottom"/>
          </w:tcPr>
          <w:p w:rsidR="00C47226" w:rsidRPr="0008448B" w:rsidRDefault="00C47226" w:rsidP="00C47226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08448B">
              <w:rPr>
                <w:rFonts w:asciiTheme="minorHAnsi" w:hAnsiTheme="minorHAnsi"/>
                <w:color w:val="000000"/>
                <w:sz w:val="22"/>
                <w:szCs w:val="22"/>
              </w:rPr>
              <w:t>ML</w:t>
            </w:r>
          </w:p>
        </w:tc>
        <w:tc>
          <w:tcPr>
            <w:tcW w:w="0" w:type="auto"/>
            <w:vAlign w:val="center"/>
          </w:tcPr>
          <w:p w:rsidR="00C47226" w:rsidRDefault="00C47226" w:rsidP="00C47226">
            <w:r>
              <w:t>1.0308</w:t>
            </w:r>
          </w:p>
        </w:tc>
        <w:tc>
          <w:tcPr>
            <w:tcW w:w="0" w:type="auto"/>
            <w:vAlign w:val="center"/>
          </w:tcPr>
          <w:p w:rsidR="00C47226" w:rsidRDefault="00C47226" w:rsidP="00C47226">
            <w:r>
              <w:t>1.7179</w:t>
            </w:r>
          </w:p>
        </w:tc>
        <w:tc>
          <w:tcPr>
            <w:tcW w:w="0" w:type="auto"/>
            <w:vAlign w:val="center"/>
          </w:tcPr>
          <w:p w:rsidR="00C47226" w:rsidRDefault="00C47226" w:rsidP="00C47226">
            <w:r>
              <w:t>17.6612</w:t>
            </w:r>
          </w:p>
        </w:tc>
        <w:tc>
          <w:tcPr>
            <w:tcW w:w="0" w:type="auto"/>
            <w:vAlign w:val="center"/>
          </w:tcPr>
          <w:p w:rsidR="00C47226" w:rsidRDefault="00C47226" w:rsidP="00C47226">
            <w:r>
              <w:t>683.9821</w:t>
            </w:r>
          </w:p>
        </w:tc>
        <w:tc>
          <w:tcPr>
            <w:tcW w:w="0" w:type="auto"/>
            <w:vAlign w:val="center"/>
          </w:tcPr>
          <w:p w:rsidR="00C47226" w:rsidRDefault="00C47226" w:rsidP="00C47226">
            <w:r>
              <w:t>2.7659e+03</w:t>
            </w:r>
          </w:p>
        </w:tc>
      </w:tr>
    </w:tbl>
    <w:p w:rsidR="004A75F7" w:rsidRPr="0008448B" w:rsidRDefault="004A75F7" w:rsidP="0096322C">
      <w:pPr>
        <w:rPr>
          <w:rFonts w:asciiTheme="minorHAnsi" w:hAnsiTheme="minorHAnsi"/>
          <w:sz w:val="22"/>
          <w:szCs w:val="22"/>
        </w:rPr>
      </w:pPr>
    </w:p>
    <w:p w:rsidR="00320665" w:rsidRPr="0008448B" w:rsidRDefault="00320665" w:rsidP="00320665">
      <w:pPr>
        <w:rPr>
          <w:rFonts w:asciiTheme="minorHAnsi" w:hAnsiTheme="minorHAnsi"/>
          <w:sz w:val="22"/>
          <w:szCs w:val="22"/>
        </w:rPr>
      </w:pPr>
    </w:p>
    <w:p w:rsidR="00320665" w:rsidRPr="0008448B" w:rsidRDefault="00320665">
      <w:pPr>
        <w:rPr>
          <w:rFonts w:asciiTheme="minorHAnsi" w:hAnsiTheme="minorHAnsi"/>
          <w:sz w:val="22"/>
          <w:szCs w:val="22"/>
        </w:rPr>
      </w:pPr>
    </w:p>
    <w:p w:rsidR="009566C8" w:rsidRPr="0008448B" w:rsidRDefault="00016A60" w:rsidP="0096322C">
      <w:pPr>
        <w:rPr>
          <w:rFonts w:asciiTheme="minorHAnsi" w:hAnsiTheme="minorHAnsi"/>
          <w:b/>
          <w:sz w:val="22"/>
          <w:szCs w:val="22"/>
        </w:rPr>
      </w:pPr>
      <w:r w:rsidRPr="0008448B">
        <w:rPr>
          <w:rFonts w:asciiTheme="minorHAnsi" w:hAnsiTheme="minorHAnsi"/>
          <w:b/>
          <w:sz w:val="22"/>
          <w:szCs w:val="22"/>
        </w:rPr>
        <w:t xml:space="preserve">VI. </w:t>
      </w:r>
      <w:r w:rsidR="00F67E54" w:rsidRPr="0008448B">
        <w:rPr>
          <w:rFonts w:asciiTheme="minorHAnsi" w:hAnsiTheme="minorHAnsi"/>
          <w:b/>
          <w:sz w:val="22"/>
          <w:szCs w:val="22"/>
        </w:rPr>
        <w:t>Calculation of thresholds</w:t>
      </w:r>
    </w:p>
    <w:p w:rsidR="00016A60" w:rsidRPr="0008448B" w:rsidRDefault="00016A60" w:rsidP="0096322C">
      <w:pPr>
        <w:rPr>
          <w:rFonts w:asciiTheme="minorHAnsi" w:hAnsiTheme="minorHAnsi"/>
          <w:sz w:val="22"/>
          <w:szCs w:val="22"/>
        </w:rPr>
      </w:pPr>
      <w:r w:rsidRPr="0008448B">
        <w:rPr>
          <w:rFonts w:asciiTheme="minorHAnsi" w:hAnsiTheme="minorHAnsi"/>
          <w:sz w:val="22"/>
          <w:szCs w:val="22"/>
        </w:rPr>
        <w:t>Thresholds were calculated using a probit curve with the HC</w:t>
      </w:r>
      <w:r w:rsidRPr="0008448B">
        <w:rPr>
          <w:rFonts w:asciiTheme="minorHAnsi" w:hAnsiTheme="minorHAnsi"/>
          <w:sz w:val="22"/>
          <w:szCs w:val="22"/>
          <w:vertAlign w:val="subscript"/>
        </w:rPr>
        <w:t>05</w:t>
      </w:r>
      <w:r w:rsidRPr="0008448B">
        <w:rPr>
          <w:rFonts w:asciiTheme="minorHAnsi" w:hAnsiTheme="minorHAnsi"/>
          <w:sz w:val="22"/>
          <w:szCs w:val="22"/>
        </w:rPr>
        <w:t xml:space="preserve"> as the mean and</w:t>
      </w:r>
      <w:r w:rsidR="00C47226">
        <w:rPr>
          <w:rFonts w:asciiTheme="minorHAnsi" w:hAnsiTheme="minorHAnsi"/>
          <w:sz w:val="22"/>
          <w:szCs w:val="22"/>
        </w:rPr>
        <w:t xml:space="preserve"> the lower and upper limits based on the slope</w:t>
      </w:r>
      <w:r w:rsidRPr="0008448B">
        <w:rPr>
          <w:rFonts w:asciiTheme="minorHAnsi" w:hAnsiTheme="minorHAnsi"/>
          <w:sz w:val="22"/>
          <w:szCs w:val="22"/>
        </w:rPr>
        <w:t xml:space="preserve">. </w:t>
      </w:r>
      <w:r w:rsidR="00DF2241" w:rsidRPr="0008448B">
        <w:rPr>
          <w:rFonts w:asciiTheme="minorHAnsi" w:hAnsiTheme="minorHAnsi"/>
          <w:sz w:val="22"/>
          <w:szCs w:val="22"/>
        </w:rPr>
        <w:t xml:space="preserve">Calculated thresholds are provided in </w:t>
      </w:r>
      <w:r w:rsidR="00C47226">
        <w:rPr>
          <w:rFonts w:asciiTheme="minorHAnsi" w:hAnsiTheme="minorHAnsi"/>
          <w:b/>
          <w:sz w:val="22"/>
          <w:szCs w:val="22"/>
        </w:rPr>
        <w:t>Table</w:t>
      </w:r>
      <w:r w:rsidR="00DF2241" w:rsidRPr="0008448B">
        <w:rPr>
          <w:rFonts w:asciiTheme="minorHAnsi" w:hAnsiTheme="minorHAnsi"/>
          <w:b/>
          <w:sz w:val="22"/>
          <w:szCs w:val="22"/>
        </w:rPr>
        <w:t xml:space="preserve"> </w:t>
      </w:r>
      <w:r w:rsidR="00714866" w:rsidRPr="0008448B">
        <w:rPr>
          <w:rFonts w:asciiTheme="minorHAnsi" w:hAnsiTheme="minorHAnsi"/>
          <w:b/>
          <w:sz w:val="22"/>
          <w:szCs w:val="22"/>
        </w:rPr>
        <w:t xml:space="preserve">B </w:t>
      </w:r>
      <w:r w:rsidR="00714866">
        <w:rPr>
          <w:rFonts w:asciiTheme="minorHAnsi" w:hAnsiTheme="minorHAnsi"/>
          <w:b/>
          <w:sz w:val="22"/>
          <w:szCs w:val="22"/>
        </w:rPr>
        <w:t>2-8.</w:t>
      </w:r>
      <w:r w:rsidR="00C47226">
        <w:rPr>
          <w:rFonts w:asciiTheme="minorHAnsi" w:hAnsiTheme="minorHAnsi"/>
          <w:b/>
          <w:sz w:val="22"/>
          <w:szCs w:val="22"/>
        </w:rPr>
        <w:t>6</w:t>
      </w:r>
      <w:r w:rsidR="00DF2241" w:rsidRPr="0008448B">
        <w:rPr>
          <w:rFonts w:asciiTheme="minorHAnsi" w:hAnsiTheme="minorHAnsi"/>
          <w:sz w:val="22"/>
          <w:szCs w:val="22"/>
        </w:rPr>
        <w:t>.</w:t>
      </w:r>
      <w:r w:rsidR="00491D73" w:rsidRPr="0008448B">
        <w:rPr>
          <w:rFonts w:asciiTheme="minorHAnsi" w:hAnsiTheme="minorHAnsi"/>
          <w:sz w:val="22"/>
          <w:szCs w:val="22"/>
        </w:rPr>
        <w:t xml:space="preserve"> The distribution shown </w:t>
      </w:r>
      <w:r w:rsidR="00C47226">
        <w:rPr>
          <w:rFonts w:asciiTheme="minorHAnsi" w:hAnsiTheme="minorHAnsi"/>
          <w:sz w:val="22"/>
          <w:szCs w:val="22"/>
        </w:rPr>
        <w:t xml:space="preserve">is </w:t>
      </w:r>
      <w:r w:rsidR="00491D73" w:rsidRPr="0008448B">
        <w:rPr>
          <w:rFonts w:asciiTheme="minorHAnsi" w:hAnsiTheme="minorHAnsi"/>
          <w:sz w:val="22"/>
          <w:szCs w:val="22"/>
        </w:rPr>
        <w:t xml:space="preserve">the chosen distributions for each dataset based on AICc weight, CV of the HC05 and the confidence limits. </w:t>
      </w:r>
    </w:p>
    <w:p w:rsidR="00016A60" w:rsidRPr="0008448B" w:rsidRDefault="00016A60" w:rsidP="0096322C">
      <w:pPr>
        <w:rPr>
          <w:rFonts w:asciiTheme="minorHAnsi" w:hAnsiTheme="minorHAnsi"/>
          <w:sz w:val="22"/>
          <w:szCs w:val="22"/>
        </w:rPr>
      </w:pPr>
    </w:p>
    <w:p w:rsidR="00F21792" w:rsidRPr="0008448B" w:rsidRDefault="004F66BC" w:rsidP="0096322C">
      <w:pPr>
        <w:rPr>
          <w:rFonts w:asciiTheme="minorHAnsi" w:hAnsiTheme="minorHAnsi"/>
          <w:sz w:val="22"/>
          <w:szCs w:val="22"/>
        </w:rPr>
      </w:pPr>
      <w:r w:rsidRPr="0008448B">
        <w:rPr>
          <w:rFonts w:asciiTheme="minorHAnsi" w:hAnsiTheme="minorHAnsi"/>
          <w:b/>
          <w:sz w:val="22"/>
          <w:szCs w:val="22"/>
        </w:rPr>
        <w:t xml:space="preserve">Table </w:t>
      </w:r>
      <w:r w:rsidR="00714866" w:rsidRPr="0008448B">
        <w:rPr>
          <w:rFonts w:asciiTheme="minorHAnsi" w:hAnsiTheme="minorHAnsi"/>
          <w:b/>
          <w:sz w:val="22"/>
          <w:szCs w:val="22"/>
        </w:rPr>
        <w:t xml:space="preserve">B </w:t>
      </w:r>
      <w:r w:rsidR="00714866">
        <w:rPr>
          <w:rFonts w:asciiTheme="minorHAnsi" w:hAnsiTheme="minorHAnsi"/>
          <w:b/>
          <w:sz w:val="22"/>
          <w:szCs w:val="22"/>
        </w:rPr>
        <w:t>2-8.</w:t>
      </w:r>
      <w:r w:rsidR="00F21792" w:rsidRPr="0008448B">
        <w:rPr>
          <w:rFonts w:asciiTheme="minorHAnsi" w:hAnsiTheme="minorHAnsi"/>
          <w:b/>
          <w:sz w:val="22"/>
          <w:szCs w:val="22"/>
        </w:rPr>
        <w:t>1</w:t>
      </w:r>
      <w:r w:rsidR="00100CD0" w:rsidRPr="0008448B">
        <w:rPr>
          <w:rFonts w:asciiTheme="minorHAnsi" w:hAnsiTheme="minorHAnsi"/>
          <w:b/>
          <w:sz w:val="22"/>
          <w:szCs w:val="22"/>
        </w:rPr>
        <w:t>2</w:t>
      </w:r>
      <w:r w:rsidR="00F21792" w:rsidRPr="0008448B">
        <w:rPr>
          <w:rFonts w:asciiTheme="minorHAnsi" w:hAnsiTheme="minorHAnsi"/>
          <w:b/>
          <w:sz w:val="22"/>
          <w:szCs w:val="22"/>
        </w:rPr>
        <w:t xml:space="preserve">. Thresholds for determination of action area for </w:t>
      </w:r>
      <w:r w:rsidR="001F18FF" w:rsidRPr="0008448B">
        <w:rPr>
          <w:rFonts w:asciiTheme="minorHAnsi" w:hAnsiTheme="minorHAnsi"/>
          <w:b/>
          <w:sz w:val="22"/>
          <w:szCs w:val="22"/>
        </w:rPr>
        <w:t>Malathion</w:t>
      </w:r>
      <w:r w:rsidR="00F21792" w:rsidRPr="0008448B">
        <w:rPr>
          <w:rFonts w:asciiTheme="minorHAnsi" w:hAnsiTheme="minorHAnsi"/>
          <w:b/>
          <w:sz w:val="22"/>
          <w:szCs w:val="22"/>
        </w:rPr>
        <w:t xml:space="preserve"> </w:t>
      </w:r>
      <w:r w:rsidR="00634F15" w:rsidRPr="0008448B">
        <w:rPr>
          <w:rFonts w:asciiTheme="minorHAnsi" w:hAnsiTheme="minorHAnsi"/>
          <w:b/>
          <w:sz w:val="22"/>
          <w:szCs w:val="22"/>
        </w:rPr>
        <w:t>aquatic invertebrate pooled</w:t>
      </w:r>
      <w:r w:rsidR="00F21792" w:rsidRPr="0008448B">
        <w:rPr>
          <w:rFonts w:asciiTheme="minorHAnsi" w:hAnsiTheme="minorHAnsi"/>
          <w:b/>
          <w:sz w:val="22"/>
          <w:szCs w:val="22"/>
        </w:rPr>
        <w:t xml:space="preserve"> </w:t>
      </w:r>
      <w:r w:rsidR="00F21792" w:rsidRPr="0008448B">
        <w:rPr>
          <w:rFonts w:asciiTheme="minorHAnsi" w:hAnsiTheme="minorHAnsi"/>
          <w:sz w:val="22"/>
          <w:szCs w:val="22"/>
        </w:rPr>
        <w:t>test results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2"/>
        <w:gridCol w:w="923"/>
        <w:gridCol w:w="1182"/>
        <w:gridCol w:w="1261"/>
        <w:gridCol w:w="1268"/>
        <w:gridCol w:w="1182"/>
        <w:gridCol w:w="1261"/>
        <w:gridCol w:w="1268"/>
      </w:tblGrid>
      <w:tr w:rsidR="00C47226" w:rsidRPr="00E64CE3" w:rsidTr="00A62D04">
        <w:tc>
          <w:tcPr>
            <w:tcW w:w="0" w:type="auto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47226" w:rsidRPr="00E64CE3" w:rsidRDefault="00C47226" w:rsidP="00A62D04">
            <w:pPr>
              <w:rPr>
                <w:rFonts w:asciiTheme="minorHAnsi" w:hAnsiTheme="minorHAnsi"/>
                <w:sz w:val="22"/>
                <w:szCs w:val="22"/>
              </w:rPr>
            </w:pPr>
            <w:r w:rsidRPr="00E64CE3">
              <w:rPr>
                <w:rFonts w:asciiTheme="minorHAnsi" w:hAnsiTheme="minorHAnsi"/>
                <w:sz w:val="22"/>
                <w:szCs w:val="22"/>
              </w:rPr>
              <w:t>distrib.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47226" w:rsidRPr="00E64CE3" w:rsidRDefault="00C47226" w:rsidP="00A62D04">
            <w:pPr>
              <w:rPr>
                <w:rFonts w:asciiTheme="minorHAnsi" w:hAnsiTheme="minorHAnsi"/>
                <w:sz w:val="22"/>
                <w:szCs w:val="22"/>
              </w:rPr>
            </w:pPr>
            <w:r w:rsidRPr="00E64CE3">
              <w:rPr>
                <w:rFonts w:asciiTheme="minorHAnsi" w:hAnsiTheme="minorHAnsi"/>
                <w:sz w:val="22"/>
                <w:szCs w:val="22"/>
              </w:rPr>
              <w:t>method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47226" w:rsidRPr="00E64CE3" w:rsidRDefault="00C47226" w:rsidP="00A62D0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64CE3">
              <w:rPr>
                <w:rFonts w:asciiTheme="minorHAnsi" w:hAnsiTheme="minorHAnsi"/>
                <w:sz w:val="22"/>
                <w:szCs w:val="22"/>
              </w:rPr>
              <w:t>Mortality Threshold (10</w:t>
            </w:r>
            <w:r w:rsidRPr="00E64CE3">
              <w:rPr>
                <w:rFonts w:asciiTheme="minorHAnsi" w:hAnsiTheme="minorHAnsi"/>
                <w:sz w:val="22"/>
                <w:szCs w:val="22"/>
                <w:vertAlign w:val="superscript"/>
              </w:rPr>
              <w:t>-6</w:t>
            </w:r>
            <w:r w:rsidRPr="00E64CE3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0" w:type="auto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47226" w:rsidRPr="00E64CE3" w:rsidRDefault="00C47226" w:rsidP="00A62D0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64CE3">
              <w:rPr>
                <w:rFonts w:asciiTheme="minorHAnsi" w:hAnsiTheme="minorHAnsi"/>
                <w:sz w:val="22"/>
                <w:szCs w:val="22"/>
              </w:rPr>
              <w:t>Indirect Effects Threshold (10</w:t>
            </w:r>
            <w:r w:rsidRPr="00E64CE3">
              <w:rPr>
                <w:rFonts w:asciiTheme="minorHAnsi" w:hAnsiTheme="minorHAnsi"/>
                <w:sz w:val="22"/>
                <w:szCs w:val="22"/>
                <w:vertAlign w:val="superscript"/>
              </w:rPr>
              <w:t>-1</w:t>
            </w:r>
            <w:r w:rsidRPr="00E64CE3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</w:tr>
      <w:tr w:rsidR="00C47226" w:rsidRPr="00E64CE3" w:rsidTr="00A62D04"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47226" w:rsidRPr="00E64CE3" w:rsidRDefault="00C47226" w:rsidP="00A62D0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C47226" w:rsidRPr="00E64CE3" w:rsidRDefault="00C47226" w:rsidP="00A62D0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47226" w:rsidRPr="00E64CE3" w:rsidRDefault="00C47226" w:rsidP="00C47226">
            <w:pPr>
              <w:rPr>
                <w:rFonts w:asciiTheme="minorHAnsi" w:hAnsiTheme="minorHAnsi"/>
                <w:sz w:val="22"/>
                <w:szCs w:val="22"/>
              </w:rPr>
            </w:pPr>
            <w:r w:rsidRPr="00E64CE3">
              <w:rPr>
                <w:rFonts w:asciiTheme="minorHAnsi" w:hAnsiTheme="minorHAnsi"/>
                <w:sz w:val="22"/>
                <w:szCs w:val="22"/>
              </w:rPr>
              <w:t xml:space="preserve">slope = </w:t>
            </w:r>
            <w:r>
              <w:rPr>
                <w:rFonts w:asciiTheme="minorHAnsi" w:hAnsiTheme="minorHAnsi"/>
                <w:sz w:val="22"/>
                <w:szCs w:val="22"/>
              </w:rPr>
              <w:t>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47226" w:rsidRPr="00E64CE3" w:rsidRDefault="00C47226" w:rsidP="00A62D0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Lower Limit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47226" w:rsidRPr="00E64CE3" w:rsidRDefault="00C47226" w:rsidP="00A62D0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Upper Limit</w:t>
            </w:r>
            <w:r w:rsidRPr="00E64CE3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47226" w:rsidRPr="00E64CE3" w:rsidRDefault="00C47226" w:rsidP="00C47226">
            <w:pPr>
              <w:rPr>
                <w:rFonts w:asciiTheme="minorHAnsi" w:hAnsiTheme="minorHAnsi"/>
                <w:sz w:val="22"/>
                <w:szCs w:val="22"/>
              </w:rPr>
            </w:pPr>
            <w:r w:rsidRPr="00E64CE3">
              <w:rPr>
                <w:rFonts w:asciiTheme="minorHAnsi" w:hAnsiTheme="minorHAnsi"/>
                <w:sz w:val="22"/>
                <w:szCs w:val="22"/>
              </w:rPr>
              <w:t xml:space="preserve">slope = </w:t>
            </w:r>
            <w:r>
              <w:rPr>
                <w:rFonts w:asciiTheme="minorHAnsi" w:hAnsiTheme="minorHAnsi"/>
                <w:sz w:val="22"/>
                <w:szCs w:val="22"/>
              </w:rPr>
              <w:t>4.5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47226" w:rsidRPr="00E64CE3" w:rsidRDefault="00C47226" w:rsidP="00A62D0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Lower Limit</w:t>
            </w:r>
            <w:r w:rsidRPr="00E64CE3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47226" w:rsidRPr="00E64CE3" w:rsidRDefault="00C47226" w:rsidP="00A62D0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Upper Limit</w:t>
            </w:r>
            <w:r w:rsidRPr="00E64CE3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C47226" w:rsidRPr="00E64CE3" w:rsidTr="00A62D04"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C47226" w:rsidRPr="00E64CE3" w:rsidRDefault="00C47226" w:rsidP="00A62D0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Gumbel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C47226" w:rsidRPr="00E64CE3" w:rsidRDefault="00C47226" w:rsidP="00A62D0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E64CE3">
              <w:rPr>
                <w:rFonts w:asciiTheme="minorHAnsi" w:hAnsiTheme="minorHAnsi"/>
                <w:color w:val="000000"/>
                <w:sz w:val="22"/>
                <w:szCs w:val="22"/>
              </w:rPr>
              <w:t>ML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C47226" w:rsidRPr="00E64CE3" w:rsidRDefault="00C47226" w:rsidP="00A62D04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0.091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C47226" w:rsidRPr="00E64CE3" w:rsidRDefault="00C47226" w:rsidP="00A62D04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0.023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C47226" w:rsidRPr="00E64CE3" w:rsidRDefault="00C47226" w:rsidP="00A62D04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0.96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C47226" w:rsidRPr="00E64CE3" w:rsidRDefault="00C47226" w:rsidP="00A62D04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0.54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C47226" w:rsidRPr="00E64CE3" w:rsidRDefault="00C47226" w:rsidP="00A62D04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0.13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C47226" w:rsidRPr="00E64CE3" w:rsidRDefault="00C47226" w:rsidP="00A62D04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5.7</w:t>
            </w:r>
          </w:p>
        </w:tc>
      </w:tr>
      <w:tr w:rsidR="00C47226" w:rsidRPr="00E64CE3" w:rsidTr="00A62D04"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47226" w:rsidRPr="00E64CE3" w:rsidRDefault="00C47226" w:rsidP="00A62D0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47226" w:rsidRPr="00E64CE3" w:rsidRDefault="00C47226" w:rsidP="00A62D04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47226" w:rsidRPr="00E64CE3" w:rsidRDefault="00C47226" w:rsidP="00A62D04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47226" w:rsidRPr="00E64CE3" w:rsidRDefault="00C47226" w:rsidP="00A62D04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47226" w:rsidRPr="00E64CE3" w:rsidRDefault="00C47226" w:rsidP="00A62D04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47226" w:rsidRPr="00E64CE3" w:rsidRDefault="00C47226" w:rsidP="00A62D04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47226" w:rsidRPr="00E64CE3" w:rsidRDefault="00C47226" w:rsidP="00A62D04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C47226" w:rsidRPr="00E64CE3" w:rsidRDefault="00C47226" w:rsidP="00A62D04">
            <w:pPr>
              <w:jc w:val="righ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:rsidR="009850BC" w:rsidRPr="0008448B" w:rsidRDefault="009850BC" w:rsidP="009850BC">
      <w:pPr>
        <w:rPr>
          <w:rFonts w:asciiTheme="minorHAnsi" w:hAnsiTheme="minorHAnsi"/>
          <w:sz w:val="22"/>
          <w:szCs w:val="22"/>
        </w:rPr>
      </w:pPr>
    </w:p>
    <w:p w:rsidR="00127002" w:rsidRPr="0008448B" w:rsidRDefault="00127002" w:rsidP="00127002">
      <w:pPr>
        <w:rPr>
          <w:rFonts w:asciiTheme="minorHAnsi" w:hAnsiTheme="minorHAnsi"/>
          <w:sz w:val="22"/>
          <w:szCs w:val="22"/>
        </w:rPr>
      </w:pPr>
    </w:p>
    <w:sectPr w:rsidR="00127002" w:rsidRPr="0008448B" w:rsidSect="00CE3FF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800" w:rsidRDefault="00615800" w:rsidP="00421E69">
      <w:pPr>
        <w:spacing w:line="240" w:lineRule="auto"/>
      </w:pPr>
      <w:r>
        <w:separator/>
      </w:r>
    </w:p>
  </w:endnote>
  <w:endnote w:type="continuationSeparator" w:id="0">
    <w:p w:rsidR="00615800" w:rsidRDefault="00615800" w:rsidP="00421E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976127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9F5C46" w:rsidRPr="00316260" w:rsidRDefault="009F5C46" w:rsidP="00316260">
            <w:pPr>
              <w:pStyle w:val="Footer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16260">
              <w:rPr>
                <w:rFonts w:asciiTheme="minorHAnsi" w:hAnsiTheme="minorHAnsi"/>
                <w:sz w:val="22"/>
                <w:szCs w:val="22"/>
              </w:rPr>
              <w:t xml:space="preserve">B8 (EC) - </w:t>
            </w:r>
            <w:r w:rsidRPr="00316260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Pr="00316260">
              <w:rPr>
                <w:rFonts w:asciiTheme="minorHAnsi" w:hAnsiTheme="minorHAnsi"/>
                <w:sz w:val="22"/>
                <w:szCs w:val="22"/>
              </w:rPr>
              <w:instrText xml:space="preserve"> PAGE   \* MERGEFORMAT </w:instrText>
            </w:r>
            <w:r w:rsidRPr="0031626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D913EF">
              <w:rPr>
                <w:rFonts w:asciiTheme="minorHAnsi" w:hAnsiTheme="minorHAnsi"/>
                <w:noProof/>
                <w:sz w:val="22"/>
                <w:szCs w:val="22"/>
              </w:rPr>
              <w:t>4</w:t>
            </w:r>
            <w:r w:rsidRPr="00316260">
              <w:rPr>
                <w:rFonts w:asciiTheme="minorHAnsi" w:hAnsiTheme="minorHAnsi"/>
                <w:noProof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800" w:rsidRDefault="00615800" w:rsidP="00421E69">
      <w:pPr>
        <w:spacing w:line="240" w:lineRule="auto"/>
      </w:pPr>
      <w:r>
        <w:separator/>
      </w:r>
    </w:p>
  </w:footnote>
  <w:footnote w:type="continuationSeparator" w:id="0">
    <w:p w:rsidR="00615800" w:rsidRDefault="00615800" w:rsidP="00421E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C46" w:rsidRDefault="009F5C46">
    <w:pPr>
      <w:pStyle w:val="Header"/>
    </w:pPr>
    <w:r>
      <w:tab/>
    </w:r>
  </w:p>
  <w:p w:rsidR="009F5C46" w:rsidRDefault="009F5C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 w:cryptProviderType="rsaAES" w:cryptAlgorithmClass="hash" w:cryptAlgorithmType="typeAny" w:cryptAlgorithmSid="14" w:cryptSpinCount="100000" w:hash="xp9piKgelyIfYL0yz4qGEWK42ExPsMbb9hkZc4vFHtAQwSUVmVHFRI6BTNAgaO4fZbJOYCAPwkzEO7+TvOjRhQ==" w:salt="QSfL5CUrhGFi3yJg1UxnHQ=="/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A67"/>
    <w:rsid w:val="00000513"/>
    <w:rsid w:val="00000BD6"/>
    <w:rsid w:val="0000601A"/>
    <w:rsid w:val="0000656C"/>
    <w:rsid w:val="000065BC"/>
    <w:rsid w:val="00007088"/>
    <w:rsid w:val="00012FD1"/>
    <w:rsid w:val="0001392E"/>
    <w:rsid w:val="00013FCE"/>
    <w:rsid w:val="00014199"/>
    <w:rsid w:val="00015751"/>
    <w:rsid w:val="000162E3"/>
    <w:rsid w:val="00016A60"/>
    <w:rsid w:val="0002062E"/>
    <w:rsid w:val="00024252"/>
    <w:rsid w:val="00025235"/>
    <w:rsid w:val="000254BF"/>
    <w:rsid w:val="000256C4"/>
    <w:rsid w:val="00025CD3"/>
    <w:rsid w:val="0002655C"/>
    <w:rsid w:val="00027266"/>
    <w:rsid w:val="000274A7"/>
    <w:rsid w:val="0003253E"/>
    <w:rsid w:val="00032D56"/>
    <w:rsid w:val="00033C69"/>
    <w:rsid w:val="00035D7C"/>
    <w:rsid w:val="00037504"/>
    <w:rsid w:val="000376DC"/>
    <w:rsid w:val="00037B22"/>
    <w:rsid w:val="00037E86"/>
    <w:rsid w:val="00040C01"/>
    <w:rsid w:val="0004340B"/>
    <w:rsid w:val="00047435"/>
    <w:rsid w:val="00050BE1"/>
    <w:rsid w:val="00051DDA"/>
    <w:rsid w:val="00052381"/>
    <w:rsid w:val="00053669"/>
    <w:rsid w:val="000544A0"/>
    <w:rsid w:val="000554AD"/>
    <w:rsid w:val="00060735"/>
    <w:rsid w:val="00060962"/>
    <w:rsid w:val="000649AD"/>
    <w:rsid w:val="00070708"/>
    <w:rsid w:val="00072CCF"/>
    <w:rsid w:val="00073008"/>
    <w:rsid w:val="00074497"/>
    <w:rsid w:val="00080D99"/>
    <w:rsid w:val="000819D4"/>
    <w:rsid w:val="0008448B"/>
    <w:rsid w:val="00085678"/>
    <w:rsid w:val="00085A8C"/>
    <w:rsid w:val="00087FD8"/>
    <w:rsid w:val="000907C7"/>
    <w:rsid w:val="0009137C"/>
    <w:rsid w:val="00091667"/>
    <w:rsid w:val="0009171A"/>
    <w:rsid w:val="0009600B"/>
    <w:rsid w:val="00097DF7"/>
    <w:rsid w:val="000A01EB"/>
    <w:rsid w:val="000A2830"/>
    <w:rsid w:val="000A399B"/>
    <w:rsid w:val="000A6810"/>
    <w:rsid w:val="000A6BE4"/>
    <w:rsid w:val="000B06E5"/>
    <w:rsid w:val="000B277F"/>
    <w:rsid w:val="000B2A25"/>
    <w:rsid w:val="000B36E5"/>
    <w:rsid w:val="000B686D"/>
    <w:rsid w:val="000B6985"/>
    <w:rsid w:val="000B76B4"/>
    <w:rsid w:val="000C346E"/>
    <w:rsid w:val="000C3CBD"/>
    <w:rsid w:val="000C4052"/>
    <w:rsid w:val="000C4DB5"/>
    <w:rsid w:val="000C50EE"/>
    <w:rsid w:val="000C7C23"/>
    <w:rsid w:val="000D783D"/>
    <w:rsid w:val="000E1F82"/>
    <w:rsid w:val="000E3709"/>
    <w:rsid w:val="000E3792"/>
    <w:rsid w:val="000E3D9B"/>
    <w:rsid w:val="000E46F1"/>
    <w:rsid w:val="000E483A"/>
    <w:rsid w:val="000E677E"/>
    <w:rsid w:val="000E7269"/>
    <w:rsid w:val="000F20B2"/>
    <w:rsid w:val="000F3FFC"/>
    <w:rsid w:val="000F4464"/>
    <w:rsid w:val="000F5947"/>
    <w:rsid w:val="000F652F"/>
    <w:rsid w:val="000F775F"/>
    <w:rsid w:val="0010029A"/>
    <w:rsid w:val="00100CD0"/>
    <w:rsid w:val="0010196D"/>
    <w:rsid w:val="00102450"/>
    <w:rsid w:val="00103F27"/>
    <w:rsid w:val="00104620"/>
    <w:rsid w:val="00104749"/>
    <w:rsid w:val="001068EB"/>
    <w:rsid w:val="001104DC"/>
    <w:rsid w:val="00113F1E"/>
    <w:rsid w:val="0011467E"/>
    <w:rsid w:val="00115815"/>
    <w:rsid w:val="00116A44"/>
    <w:rsid w:val="00120C7C"/>
    <w:rsid w:val="00122C15"/>
    <w:rsid w:val="00123EB6"/>
    <w:rsid w:val="00124471"/>
    <w:rsid w:val="00125397"/>
    <w:rsid w:val="001264E6"/>
    <w:rsid w:val="00127002"/>
    <w:rsid w:val="001273D8"/>
    <w:rsid w:val="001322B2"/>
    <w:rsid w:val="001334E2"/>
    <w:rsid w:val="00133BC9"/>
    <w:rsid w:val="00134B40"/>
    <w:rsid w:val="00141DCB"/>
    <w:rsid w:val="00143BAC"/>
    <w:rsid w:val="00151AF9"/>
    <w:rsid w:val="0015225E"/>
    <w:rsid w:val="00155BE3"/>
    <w:rsid w:val="00156486"/>
    <w:rsid w:val="00160F0A"/>
    <w:rsid w:val="001613F2"/>
    <w:rsid w:val="00163BDF"/>
    <w:rsid w:val="00167A1F"/>
    <w:rsid w:val="001707AD"/>
    <w:rsid w:val="00171C9D"/>
    <w:rsid w:val="0017281E"/>
    <w:rsid w:val="00172825"/>
    <w:rsid w:val="0017291D"/>
    <w:rsid w:val="00174E50"/>
    <w:rsid w:val="00175938"/>
    <w:rsid w:val="001759DF"/>
    <w:rsid w:val="00177C4C"/>
    <w:rsid w:val="00182163"/>
    <w:rsid w:val="00183D62"/>
    <w:rsid w:val="0018552F"/>
    <w:rsid w:val="00190D44"/>
    <w:rsid w:val="00192957"/>
    <w:rsid w:val="00192CE2"/>
    <w:rsid w:val="00194214"/>
    <w:rsid w:val="001A172C"/>
    <w:rsid w:val="001A1D58"/>
    <w:rsid w:val="001A2140"/>
    <w:rsid w:val="001A2BDE"/>
    <w:rsid w:val="001A3492"/>
    <w:rsid w:val="001A4BC6"/>
    <w:rsid w:val="001A4C43"/>
    <w:rsid w:val="001A52B2"/>
    <w:rsid w:val="001A62D7"/>
    <w:rsid w:val="001A6E2B"/>
    <w:rsid w:val="001A7430"/>
    <w:rsid w:val="001B4F93"/>
    <w:rsid w:val="001C1736"/>
    <w:rsid w:val="001D1533"/>
    <w:rsid w:val="001D2938"/>
    <w:rsid w:val="001D7669"/>
    <w:rsid w:val="001D78F4"/>
    <w:rsid w:val="001E26EE"/>
    <w:rsid w:val="001E3FBD"/>
    <w:rsid w:val="001E76AF"/>
    <w:rsid w:val="001F0A18"/>
    <w:rsid w:val="001F18FF"/>
    <w:rsid w:val="001F310B"/>
    <w:rsid w:val="001F5432"/>
    <w:rsid w:val="001F5837"/>
    <w:rsid w:val="001F5F47"/>
    <w:rsid w:val="001F7285"/>
    <w:rsid w:val="00202F18"/>
    <w:rsid w:val="002031C8"/>
    <w:rsid w:val="00205284"/>
    <w:rsid w:val="00205E1A"/>
    <w:rsid w:val="00206CA2"/>
    <w:rsid w:val="002102F3"/>
    <w:rsid w:val="0021036A"/>
    <w:rsid w:val="00213B00"/>
    <w:rsid w:val="00214AEA"/>
    <w:rsid w:val="00216AAA"/>
    <w:rsid w:val="0021792F"/>
    <w:rsid w:val="002213AC"/>
    <w:rsid w:val="002249EE"/>
    <w:rsid w:val="00224A48"/>
    <w:rsid w:val="00225F62"/>
    <w:rsid w:val="00226E89"/>
    <w:rsid w:val="00227875"/>
    <w:rsid w:val="00230AAA"/>
    <w:rsid w:val="00233178"/>
    <w:rsid w:val="00236ADA"/>
    <w:rsid w:val="00242FAE"/>
    <w:rsid w:val="002449E5"/>
    <w:rsid w:val="002461D1"/>
    <w:rsid w:val="00253D2E"/>
    <w:rsid w:val="00255A07"/>
    <w:rsid w:val="00256E7D"/>
    <w:rsid w:val="00257623"/>
    <w:rsid w:val="002613E7"/>
    <w:rsid w:val="002619E2"/>
    <w:rsid w:val="00264E4D"/>
    <w:rsid w:val="002661A5"/>
    <w:rsid w:val="00266F7E"/>
    <w:rsid w:val="00275236"/>
    <w:rsid w:val="00275D87"/>
    <w:rsid w:val="00280960"/>
    <w:rsid w:val="00281357"/>
    <w:rsid w:val="00281F61"/>
    <w:rsid w:val="00282771"/>
    <w:rsid w:val="00283B42"/>
    <w:rsid w:val="002849BF"/>
    <w:rsid w:val="002850AB"/>
    <w:rsid w:val="002858F6"/>
    <w:rsid w:val="002908DA"/>
    <w:rsid w:val="00291E36"/>
    <w:rsid w:val="002965CD"/>
    <w:rsid w:val="002A0122"/>
    <w:rsid w:val="002A038D"/>
    <w:rsid w:val="002A3832"/>
    <w:rsid w:val="002A56C9"/>
    <w:rsid w:val="002B108D"/>
    <w:rsid w:val="002B1A71"/>
    <w:rsid w:val="002B3EC6"/>
    <w:rsid w:val="002B5E28"/>
    <w:rsid w:val="002C299A"/>
    <w:rsid w:val="002C7A15"/>
    <w:rsid w:val="002D1371"/>
    <w:rsid w:val="002D1CA9"/>
    <w:rsid w:val="002D52B6"/>
    <w:rsid w:val="002E48BE"/>
    <w:rsid w:val="002E6C90"/>
    <w:rsid w:val="002F1734"/>
    <w:rsid w:val="002F3C22"/>
    <w:rsid w:val="002F601C"/>
    <w:rsid w:val="002F7F84"/>
    <w:rsid w:val="00301A88"/>
    <w:rsid w:val="0030342F"/>
    <w:rsid w:val="0030799E"/>
    <w:rsid w:val="003106CC"/>
    <w:rsid w:val="00310EDC"/>
    <w:rsid w:val="0031453A"/>
    <w:rsid w:val="003145AC"/>
    <w:rsid w:val="00316260"/>
    <w:rsid w:val="00316266"/>
    <w:rsid w:val="00320495"/>
    <w:rsid w:val="00320665"/>
    <w:rsid w:val="00320774"/>
    <w:rsid w:val="00320BC3"/>
    <w:rsid w:val="00320FD2"/>
    <w:rsid w:val="003216D3"/>
    <w:rsid w:val="003225BC"/>
    <w:rsid w:val="00322AB9"/>
    <w:rsid w:val="00327335"/>
    <w:rsid w:val="0032754D"/>
    <w:rsid w:val="00327B68"/>
    <w:rsid w:val="00333531"/>
    <w:rsid w:val="003353CF"/>
    <w:rsid w:val="00336F76"/>
    <w:rsid w:val="00340068"/>
    <w:rsid w:val="00342179"/>
    <w:rsid w:val="00342912"/>
    <w:rsid w:val="00343AD7"/>
    <w:rsid w:val="00344A82"/>
    <w:rsid w:val="00346007"/>
    <w:rsid w:val="00350C60"/>
    <w:rsid w:val="00355709"/>
    <w:rsid w:val="00356E7B"/>
    <w:rsid w:val="00363877"/>
    <w:rsid w:val="003676CE"/>
    <w:rsid w:val="003753AF"/>
    <w:rsid w:val="00385055"/>
    <w:rsid w:val="003911F5"/>
    <w:rsid w:val="003954D9"/>
    <w:rsid w:val="00395679"/>
    <w:rsid w:val="003A01CF"/>
    <w:rsid w:val="003A2669"/>
    <w:rsid w:val="003A3143"/>
    <w:rsid w:val="003A3578"/>
    <w:rsid w:val="003A4B10"/>
    <w:rsid w:val="003A5C03"/>
    <w:rsid w:val="003A614D"/>
    <w:rsid w:val="003A7887"/>
    <w:rsid w:val="003B0B46"/>
    <w:rsid w:val="003B0C1C"/>
    <w:rsid w:val="003B5066"/>
    <w:rsid w:val="003C7BF8"/>
    <w:rsid w:val="003D1812"/>
    <w:rsid w:val="003D3140"/>
    <w:rsid w:val="003E25B3"/>
    <w:rsid w:val="003F6142"/>
    <w:rsid w:val="003F6268"/>
    <w:rsid w:val="003F6B61"/>
    <w:rsid w:val="003F6C0F"/>
    <w:rsid w:val="003F7933"/>
    <w:rsid w:val="00401DEE"/>
    <w:rsid w:val="00413D29"/>
    <w:rsid w:val="00415C70"/>
    <w:rsid w:val="0041726D"/>
    <w:rsid w:val="00421E69"/>
    <w:rsid w:val="0042627B"/>
    <w:rsid w:val="004334B1"/>
    <w:rsid w:val="00434422"/>
    <w:rsid w:val="00436F08"/>
    <w:rsid w:val="00437127"/>
    <w:rsid w:val="00441AC4"/>
    <w:rsid w:val="00441F90"/>
    <w:rsid w:val="004436C1"/>
    <w:rsid w:val="00445A2A"/>
    <w:rsid w:val="004473FA"/>
    <w:rsid w:val="00447611"/>
    <w:rsid w:val="00450EA9"/>
    <w:rsid w:val="00455692"/>
    <w:rsid w:val="00456CE0"/>
    <w:rsid w:val="0046364D"/>
    <w:rsid w:val="00463D15"/>
    <w:rsid w:val="004664A2"/>
    <w:rsid w:val="00472A97"/>
    <w:rsid w:val="00474AC8"/>
    <w:rsid w:val="004754C6"/>
    <w:rsid w:val="00477BB7"/>
    <w:rsid w:val="00477D9B"/>
    <w:rsid w:val="00480095"/>
    <w:rsid w:val="00483270"/>
    <w:rsid w:val="00484575"/>
    <w:rsid w:val="0048653A"/>
    <w:rsid w:val="00491225"/>
    <w:rsid w:val="00491B04"/>
    <w:rsid w:val="00491D73"/>
    <w:rsid w:val="0049400C"/>
    <w:rsid w:val="004A00A5"/>
    <w:rsid w:val="004A217A"/>
    <w:rsid w:val="004A26CF"/>
    <w:rsid w:val="004A75F7"/>
    <w:rsid w:val="004A781B"/>
    <w:rsid w:val="004B0153"/>
    <w:rsid w:val="004B6ED9"/>
    <w:rsid w:val="004C1643"/>
    <w:rsid w:val="004C1B3F"/>
    <w:rsid w:val="004C32D1"/>
    <w:rsid w:val="004C33D1"/>
    <w:rsid w:val="004C3D20"/>
    <w:rsid w:val="004C632A"/>
    <w:rsid w:val="004D0210"/>
    <w:rsid w:val="004D2500"/>
    <w:rsid w:val="004D363A"/>
    <w:rsid w:val="004D3C50"/>
    <w:rsid w:val="004D5A45"/>
    <w:rsid w:val="004D6354"/>
    <w:rsid w:val="004D63C8"/>
    <w:rsid w:val="004E0120"/>
    <w:rsid w:val="004E2B54"/>
    <w:rsid w:val="004E2EC3"/>
    <w:rsid w:val="004E32E2"/>
    <w:rsid w:val="004E4F79"/>
    <w:rsid w:val="004E5247"/>
    <w:rsid w:val="004E687A"/>
    <w:rsid w:val="004E78BD"/>
    <w:rsid w:val="004F2FCB"/>
    <w:rsid w:val="004F5BAB"/>
    <w:rsid w:val="004F66BC"/>
    <w:rsid w:val="005103B2"/>
    <w:rsid w:val="00511218"/>
    <w:rsid w:val="00511EAC"/>
    <w:rsid w:val="00515809"/>
    <w:rsid w:val="00516776"/>
    <w:rsid w:val="005245EC"/>
    <w:rsid w:val="005255F4"/>
    <w:rsid w:val="00525C57"/>
    <w:rsid w:val="00526A81"/>
    <w:rsid w:val="0053352E"/>
    <w:rsid w:val="00533F44"/>
    <w:rsid w:val="005369C0"/>
    <w:rsid w:val="00536EC4"/>
    <w:rsid w:val="00540317"/>
    <w:rsid w:val="005419CB"/>
    <w:rsid w:val="00542677"/>
    <w:rsid w:val="00542F4D"/>
    <w:rsid w:val="00543849"/>
    <w:rsid w:val="00545E30"/>
    <w:rsid w:val="00550369"/>
    <w:rsid w:val="00551957"/>
    <w:rsid w:val="00552A3D"/>
    <w:rsid w:val="005556B2"/>
    <w:rsid w:val="005557B3"/>
    <w:rsid w:val="00557607"/>
    <w:rsid w:val="00562505"/>
    <w:rsid w:val="00563138"/>
    <w:rsid w:val="00563692"/>
    <w:rsid w:val="00565021"/>
    <w:rsid w:val="00565431"/>
    <w:rsid w:val="00570DC6"/>
    <w:rsid w:val="00572F18"/>
    <w:rsid w:val="00573419"/>
    <w:rsid w:val="00576E86"/>
    <w:rsid w:val="00585E96"/>
    <w:rsid w:val="00586672"/>
    <w:rsid w:val="005917C1"/>
    <w:rsid w:val="00592D50"/>
    <w:rsid w:val="00594D68"/>
    <w:rsid w:val="00597BB1"/>
    <w:rsid w:val="005A61C7"/>
    <w:rsid w:val="005A6ABC"/>
    <w:rsid w:val="005A729B"/>
    <w:rsid w:val="005B0155"/>
    <w:rsid w:val="005B2808"/>
    <w:rsid w:val="005B295F"/>
    <w:rsid w:val="005B2A06"/>
    <w:rsid w:val="005B3D97"/>
    <w:rsid w:val="005B3FF3"/>
    <w:rsid w:val="005B4E0F"/>
    <w:rsid w:val="005B5876"/>
    <w:rsid w:val="005B6C13"/>
    <w:rsid w:val="005B70FF"/>
    <w:rsid w:val="005B7824"/>
    <w:rsid w:val="005C0581"/>
    <w:rsid w:val="005C2AB5"/>
    <w:rsid w:val="005C3FE5"/>
    <w:rsid w:val="005C5D7E"/>
    <w:rsid w:val="005C6A63"/>
    <w:rsid w:val="005D4B7C"/>
    <w:rsid w:val="005D5219"/>
    <w:rsid w:val="005D7621"/>
    <w:rsid w:val="005E0F92"/>
    <w:rsid w:val="005E3A85"/>
    <w:rsid w:val="005E6EC4"/>
    <w:rsid w:val="005F04FA"/>
    <w:rsid w:val="005F18E6"/>
    <w:rsid w:val="005F3AC9"/>
    <w:rsid w:val="0060094D"/>
    <w:rsid w:val="00602646"/>
    <w:rsid w:val="00602C01"/>
    <w:rsid w:val="0060464B"/>
    <w:rsid w:val="00606C0D"/>
    <w:rsid w:val="00606D37"/>
    <w:rsid w:val="00613C5E"/>
    <w:rsid w:val="006149BB"/>
    <w:rsid w:val="00615800"/>
    <w:rsid w:val="00615879"/>
    <w:rsid w:val="00617853"/>
    <w:rsid w:val="00617FBC"/>
    <w:rsid w:val="00621402"/>
    <w:rsid w:val="00621705"/>
    <w:rsid w:val="00622022"/>
    <w:rsid w:val="0062590E"/>
    <w:rsid w:val="006266FF"/>
    <w:rsid w:val="0063159B"/>
    <w:rsid w:val="00632223"/>
    <w:rsid w:val="00632ACD"/>
    <w:rsid w:val="006335AA"/>
    <w:rsid w:val="00634F15"/>
    <w:rsid w:val="006365D8"/>
    <w:rsid w:val="00641D5B"/>
    <w:rsid w:val="00644E3B"/>
    <w:rsid w:val="00645545"/>
    <w:rsid w:val="00651445"/>
    <w:rsid w:val="006552A1"/>
    <w:rsid w:val="00655C37"/>
    <w:rsid w:val="0065650A"/>
    <w:rsid w:val="006578EA"/>
    <w:rsid w:val="0066241D"/>
    <w:rsid w:val="00665585"/>
    <w:rsid w:val="00672AD5"/>
    <w:rsid w:val="00675AE0"/>
    <w:rsid w:val="006766D3"/>
    <w:rsid w:val="00676C9A"/>
    <w:rsid w:val="0068151E"/>
    <w:rsid w:val="00682E27"/>
    <w:rsid w:val="00683F9B"/>
    <w:rsid w:val="006842A3"/>
    <w:rsid w:val="00687F4B"/>
    <w:rsid w:val="00690142"/>
    <w:rsid w:val="006919EA"/>
    <w:rsid w:val="006944BB"/>
    <w:rsid w:val="00694556"/>
    <w:rsid w:val="006A4024"/>
    <w:rsid w:val="006A6306"/>
    <w:rsid w:val="006A700C"/>
    <w:rsid w:val="006B202F"/>
    <w:rsid w:val="006B2630"/>
    <w:rsid w:val="006B5D06"/>
    <w:rsid w:val="006C1AE7"/>
    <w:rsid w:val="006C4800"/>
    <w:rsid w:val="006C52F0"/>
    <w:rsid w:val="006C5C21"/>
    <w:rsid w:val="006C6851"/>
    <w:rsid w:val="006C762D"/>
    <w:rsid w:val="006C7950"/>
    <w:rsid w:val="006D30A7"/>
    <w:rsid w:val="006D3B0C"/>
    <w:rsid w:val="006D7BC5"/>
    <w:rsid w:val="006E4802"/>
    <w:rsid w:val="006E7A27"/>
    <w:rsid w:val="006F488C"/>
    <w:rsid w:val="006F4D9E"/>
    <w:rsid w:val="006F6492"/>
    <w:rsid w:val="006F785D"/>
    <w:rsid w:val="007009FB"/>
    <w:rsid w:val="00700AE0"/>
    <w:rsid w:val="007035D7"/>
    <w:rsid w:val="007043BF"/>
    <w:rsid w:val="0070461C"/>
    <w:rsid w:val="007063E8"/>
    <w:rsid w:val="007075D1"/>
    <w:rsid w:val="00707872"/>
    <w:rsid w:val="00707BEC"/>
    <w:rsid w:val="00712110"/>
    <w:rsid w:val="00714866"/>
    <w:rsid w:val="00715D2B"/>
    <w:rsid w:val="007169BA"/>
    <w:rsid w:val="007206B4"/>
    <w:rsid w:val="00724B2D"/>
    <w:rsid w:val="00724BAB"/>
    <w:rsid w:val="00725082"/>
    <w:rsid w:val="0073025C"/>
    <w:rsid w:val="00733226"/>
    <w:rsid w:val="00735443"/>
    <w:rsid w:val="0073587D"/>
    <w:rsid w:val="00737B45"/>
    <w:rsid w:val="0074077F"/>
    <w:rsid w:val="00740EA3"/>
    <w:rsid w:val="00744528"/>
    <w:rsid w:val="00745FF0"/>
    <w:rsid w:val="00750BD1"/>
    <w:rsid w:val="00751338"/>
    <w:rsid w:val="0075484E"/>
    <w:rsid w:val="007561FD"/>
    <w:rsid w:val="007573DA"/>
    <w:rsid w:val="007623DA"/>
    <w:rsid w:val="007633CD"/>
    <w:rsid w:val="0076345B"/>
    <w:rsid w:val="00766812"/>
    <w:rsid w:val="00770178"/>
    <w:rsid w:val="00772BD1"/>
    <w:rsid w:val="00775BCE"/>
    <w:rsid w:val="00775D98"/>
    <w:rsid w:val="00781677"/>
    <w:rsid w:val="007820CE"/>
    <w:rsid w:val="00782492"/>
    <w:rsid w:val="0078350C"/>
    <w:rsid w:val="00790473"/>
    <w:rsid w:val="007911EC"/>
    <w:rsid w:val="00792A99"/>
    <w:rsid w:val="00793FA3"/>
    <w:rsid w:val="00796840"/>
    <w:rsid w:val="00796E28"/>
    <w:rsid w:val="007973AD"/>
    <w:rsid w:val="007A3500"/>
    <w:rsid w:val="007A4F47"/>
    <w:rsid w:val="007A572B"/>
    <w:rsid w:val="007A72A5"/>
    <w:rsid w:val="007A759D"/>
    <w:rsid w:val="007B1A34"/>
    <w:rsid w:val="007B37E0"/>
    <w:rsid w:val="007B5DA8"/>
    <w:rsid w:val="007B7665"/>
    <w:rsid w:val="007B782B"/>
    <w:rsid w:val="007C0FEE"/>
    <w:rsid w:val="007C1140"/>
    <w:rsid w:val="007C32AE"/>
    <w:rsid w:val="007C3495"/>
    <w:rsid w:val="007C4081"/>
    <w:rsid w:val="007D420F"/>
    <w:rsid w:val="007D5090"/>
    <w:rsid w:val="007D5648"/>
    <w:rsid w:val="007D72C6"/>
    <w:rsid w:val="007D797B"/>
    <w:rsid w:val="007E0392"/>
    <w:rsid w:val="007E1EBC"/>
    <w:rsid w:val="007E4223"/>
    <w:rsid w:val="007E54BA"/>
    <w:rsid w:val="007E7B33"/>
    <w:rsid w:val="007F1CDC"/>
    <w:rsid w:val="007F3032"/>
    <w:rsid w:val="007F6218"/>
    <w:rsid w:val="00800854"/>
    <w:rsid w:val="008035E6"/>
    <w:rsid w:val="008053E3"/>
    <w:rsid w:val="008168A9"/>
    <w:rsid w:val="00816FCF"/>
    <w:rsid w:val="00822F3D"/>
    <w:rsid w:val="008233ED"/>
    <w:rsid w:val="0082402B"/>
    <w:rsid w:val="00825090"/>
    <w:rsid w:val="008257D8"/>
    <w:rsid w:val="00826334"/>
    <w:rsid w:val="00826D54"/>
    <w:rsid w:val="00830292"/>
    <w:rsid w:val="00832029"/>
    <w:rsid w:val="00834218"/>
    <w:rsid w:val="00834C8A"/>
    <w:rsid w:val="00835712"/>
    <w:rsid w:val="0083663F"/>
    <w:rsid w:val="00836C07"/>
    <w:rsid w:val="00837F6C"/>
    <w:rsid w:val="008402B7"/>
    <w:rsid w:val="00841909"/>
    <w:rsid w:val="00843BD7"/>
    <w:rsid w:val="00845172"/>
    <w:rsid w:val="008453BF"/>
    <w:rsid w:val="0084663B"/>
    <w:rsid w:val="00850284"/>
    <w:rsid w:val="00850BF5"/>
    <w:rsid w:val="0085356B"/>
    <w:rsid w:val="00854925"/>
    <w:rsid w:val="00856ACC"/>
    <w:rsid w:val="0085711D"/>
    <w:rsid w:val="00864AE9"/>
    <w:rsid w:val="00871381"/>
    <w:rsid w:val="0087149D"/>
    <w:rsid w:val="00872FB0"/>
    <w:rsid w:val="00873D27"/>
    <w:rsid w:val="00877E83"/>
    <w:rsid w:val="00881872"/>
    <w:rsid w:val="00882018"/>
    <w:rsid w:val="00883205"/>
    <w:rsid w:val="00883502"/>
    <w:rsid w:val="008862A7"/>
    <w:rsid w:val="0088753B"/>
    <w:rsid w:val="008926A3"/>
    <w:rsid w:val="00894892"/>
    <w:rsid w:val="00896F7C"/>
    <w:rsid w:val="00897AA2"/>
    <w:rsid w:val="008A0E57"/>
    <w:rsid w:val="008A14A7"/>
    <w:rsid w:val="008A1EA9"/>
    <w:rsid w:val="008A301B"/>
    <w:rsid w:val="008A3F2A"/>
    <w:rsid w:val="008A5621"/>
    <w:rsid w:val="008A7093"/>
    <w:rsid w:val="008B0B8C"/>
    <w:rsid w:val="008B29D0"/>
    <w:rsid w:val="008B2D24"/>
    <w:rsid w:val="008B4BC2"/>
    <w:rsid w:val="008B4C21"/>
    <w:rsid w:val="008B5512"/>
    <w:rsid w:val="008B6B1A"/>
    <w:rsid w:val="008C1BFF"/>
    <w:rsid w:val="008C20AD"/>
    <w:rsid w:val="008C47EF"/>
    <w:rsid w:val="008D062C"/>
    <w:rsid w:val="008D1551"/>
    <w:rsid w:val="008D1DCC"/>
    <w:rsid w:val="008D2D33"/>
    <w:rsid w:val="008D3D3B"/>
    <w:rsid w:val="008D5A7A"/>
    <w:rsid w:val="008D65F7"/>
    <w:rsid w:val="008D797E"/>
    <w:rsid w:val="008E2898"/>
    <w:rsid w:val="008E4AE4"/>
    <w:rsid w:val="008E557B"/>
    <w:rsid w:val="008F0927"/>
    <w:rsid w:val="008F3FD0"/>
    <w:rsid w:val="008F4A98"/>
    <w:rsid w:val="008F689F"/>
    <w:rsid w:val="008F692E"/>
    <w:rsid w:val="008F7D9F"/>
    <w:rsid w:val="00900A73"/>
    <w:rsid w:val="00901B9F"/>
    <w:rsid w:val="00902192"/>
    <w:rsid w:val="00903EA3"/>
    <w:rsid w:val="00904583"/>
    <w:rsid w:val="00905CFF"/>
    <w:rsid w:val="0090707A"/>
    <w:rsid w:val="009073A3"/>
    <w:rsid w:val="0091089F"/>
    <w:rsid w:val="00910A85"/>
    <w:rsid w:val="00912519"/>
    <w:rsid w:val="00914E88"/>
    <w:rsid w:val="009206C7"/>
    <w:rsid w:val="00920DFF"/>
    <w:rsid w:val="00931D29"/>
    <w:rsid w:val="00933EBC"/>
    <w:rsid w:val="009351F6"/>
    <w:rsid w:val="00937D85"/>
    <w:rsid w:val="00941AF6"/>
    <w:rsid w:val="009464DB"/>
    <w:rsid w:val="00952541"/>
    <w:rsid w:val="00952D8C"/>
    <w:rsid w:val="009532A2"/>
    <w:rsid w:val="00953BE4"/>
    <w:rsid w:val="009566C8"/>
    <w:rsid w:val="0095777F"/>
    <w:rsid w:val="009613C5"/>
    <w:rsid w:val="009630D8"/>
    <w:rsid w:val="0096322C"/>
    <w:rsid w:val="00967A30"/>
    <w:rsid w:val="00967F05"/>
    <w:rsid w:val="00970290"/>
    <w:rsid w:val="00970872"/>
    <w:rsid w:val="00971138"/>
    <w:rsid w:val="0097165B"/>
    <w:rsid w:val="00971FBB"/>
    <w:rsid w:val="0097487D"/>
    <w:rsid w:val="00974C38"/>
    <w:rsid w:val="0098098A"/>
    <w:rsid w:val="009826F1"/>
    <w:rsid w:val="00983D7C"/>
    <w:rsid w:val="009850BC"/>
    <w:rsid w:val="009871C2"/>
    <w:rsid w:val="0098792E"/>
    <w:rsid w:val="00991CB4"/>
    <w:rsid w:val="00993EB4"/>
    <w:rsid w:val="00995AE8"/>
    <w:rsid w:val="00995F90"/>
    <w:rsid w:val="00996855"/>
    <w:rsid w:val="00997FDB"/>
    <w:rsid w:val="009A167D"/>
    <w:rsid w:val="009A1A88"/>
    <w:rsid w:val="009A33F2"/>
    <w:rsid w:val="009A470E"/>
    <w:rsid w:val="009A4A2A"/>
    <w:rsid w:val="009B2044"/>
    <w:rsid w:val="009B26D7"/>
    <w:rsid w:val="009B2741"/>
    <w:rsid w:val="009B4304"/>
    <w:rsid w:val="009C1238"/>
    <w:rsid w:val="009C6BA0"/>
    <w:rsid w:val="009C7383"/>
    <w:rsid w:val="009D0EAD"/>
    <w:rsid w:val="009D112F"/>
    <w:rsid w:val="009D1C94"/>
    <w:rsid w:val="009D2203"/>
    <w:rsid w:val="009D2409"/>
    <w:rsid w:val="009D4C92"/>
    <w:rsid w:val="009E06F8"/>
    <w:rsid w:val="009E1128"/>
    <w:rsid w:val="009E1C55"/>
    <w:rsid w:val="009E249E"/>
    <w:rsid w:val="009E5C62"/>
    <w:rsid w:val="009E6610"/>
    <w:rsid w:val="009F1BFA"/>
    <w:rsid w:val="009F1FAE"/>
    <w:rsid w:val="009F5C46"/>
    <w:rsid w:val="00A012DF"/>
    <w:rsid w:val="00A02F49"/>
    <w:rsid w:val="00A04C3C"/>
    <w:rsid w:val="00A07A51"/>
    <w:rsid w:val="00A11840"/>
    <w:rsid w:val="00A13868"/>
    <w:rsid w:val="00A15792"/>
    <w:rsid w:val="00A200E0"/>
    <w:rsid w:val="00A20876"/>
    <w:rsid w:val="00A21511"/>
    <w:rsid w:val="00A22CAA"/>
    <w:rsid w:val="00A236B5"/>
    <w:rsid w:val="00A34597"/>
    <w:rsid w:val="00A3723D"/>
    <w:rsid w:val="00A416B3"/>
    <w:rsid w:val="00A46199"/>
    <w:rsid w:val="00A5057B"/>
    <w:rsid w:val="00A518BA"/>
    <w:rsid w:val="00A52AD4"/>
    <w:rsid w:val="00A54258"/>
    <w:rsid w:val="00A54D36"/>
    <w:rsid w:val="00A57E09"/>
    <w:rsid w:val="00A60F59"/>
    <w:rsid w:val="00A62B52"/>
    <w:rsid w:val="00A63222"/>
    <w:rsid w:val="00A63AD7"/>
    <w:rsid w:val="00A67640"/>
    <w:rsid w:val="00A67A34"/>
    <w:rsid w:val="00A70BA5"/>
    <w:rsid w:val="00A70D44"/>
    <w:rsid w:val="00A75E46"/>
    <w:rsid w:val="00A80BDA"/>
    <w:rsid w:val="00A8125D"/>
    <w:rsid w:val="00A851CE"/>
    <w:rsid w:val="00A86084"/>
    <w:rsid w:val="00A86EC8"/>
    <w:rsid w:val="00A9089A"/>
    <w:rsid w:val="00AA1674"/>
    <w:rsid w:val="00AA45A6"/>
    <w:rsid w:val="00AA7054"/>
    <w:rsid w:val="00AA7437"/>
    <w:rsid w:val="00AB0885"/>
    <w:rsid w:val="00AB0E59"/>
    <w:rsid w:val="00AB364A"/>
    <w:rsid w:val="00AB52FC"/>
    <w:rsid w:val="00AB77DF"/>
    <w:rsid w:val="00AC59E2"/>
    <w:rsid w:val="00AD2015"/>
    <w:rsid w:val="00AD3F3D"/>
    <w:rsid w:val="00AD4100"/>
    <w:rsid w:val="00AD6867"/>
    <w:rsid w:val="00AD7FEF"/>
    <w:rsid w:val="00AE003D"/>
    <w:rsid w:val="00AE0443"/>
    <w:rsid w:val="00AE19C3"/>
    <w:rsid w:val="00AE212F"/>
    <w:rsid w:val="00AE30C9"/>
    <w:rsid w:val="00AE4DA0"/>
    <w:rsid w:val="00AE4E58"/>
    <w:rsid w:val="00AF231A"/>
    <w:rsid w:val="00AF24F0"/>
    <w:rsid w:val="00AF69AE"/>
    <w:rsid w:val="00B0308B"/>
    <w:rsid w:val="00B038A4"/>
    <w:rsid w:val="00B05E96"/>
    <w:rsid w:val="00B06158"/>
    <w:rsid w:val="00B0687A"/>
    <w:rsid w:val="00B079B8"/>
    <w:rsid w:val="00B11D82"/>
    <w:rsid w:val="00B12789"/>
    <w:rsid w:val="00B157BD"/>
    <w:rsid w:val="00B17D54"/>
    <w:rsid w:val="00B2053D"/>
    <w:rsid w:val="00B223E7"/>
    <w:rsid w:val="00B22B16"/>
    <w:rsid w:val="00B2747A"/>
    <w:rsid w:val="00B30C96"/>
    <w:rsid w:val="00B376DF"/>
    <w:rsid w:val="00B41626"/>
    <w:rsid w:val="00B42B5B"/>
    <w:rsid w:val="00B44B7F"/>
    <w:rsid w:val="00B45D89"/>
    <w:rsid w:val="00B51072"/>
    <w:rsid w:val="00B53C80"/>
    <w:rsid w:val="00B53E8D"/>
    <w:rsid w:val="00B54514"/>
    <w:rsid w:val="00B54FED"/>
    <w:rsid w:val="00B56C5D"/>
    <w:rsid w:val="00B613A7"/>
    <w:rsid w:val="00B61FAE"/>
    <w:rsid w:val="00B62317"/>
    <w:rsid w:val="00B62BB0"/>
    <w:rsid w:val="00B64A8E"/>
    <w:rsid w:val="00B65B13"/>
    <w:rsid w:val="00B66FC7"/>
    <w:rsid w:val="00B7268C"/>
    <w:rsid w:val="00B72F8B"/>
    <w:rsid w:val="00B738A9"/>
    <w:rsid w:val="00B747C5"/>
    <w:rsid w:val="00B74821"/>
    <w:rsid w:val="00B77052"/>
    <w:rsid w:val="00B77F35"/>
    <w:rsid w:val="00B80DE3"/>
    <w:rsid w:val="00B81E4D"/>
    <w:rsid w:val="00B832DF"/>
    <w:rsid w:val="00B85150"/>
    <w:rsid w:val="00B870EB"/>
    <w:rsid w:val="00B92769"/>
    <w:rsid w:val="00B932AD"/>
    <w:rsid w:val="00B94208"/>
    <w:rsid w:val="00B9464B"/>
    <w:rsid w:val="00B95114"/>
    <w:rsid w:val="00B955F4"/>
    <w:rsid w:val="00B95864"/>
    <w:rsid w:val="00B97177"/>
    <w:rsid w:val="00B97553"/>
    <w:rsid w:val="00BA3B00"/>
    <w:rsid w:val="00BA3CA6"/>
    <w:rsid w:val="00BB052E"/>
    <w:rsid w:val="00BB098A"/>
    <w:rsid w:val="00BB1C86"/>
    <w:rsid w:val="00BB4910"/>
    <w:rsid w:val="00BB4D32"/>
    <w:rsid w:val="00BB5C76"/>
    <w:rsid w:val="00BB6831"/>
    <w:rsid w:val="00BC053C"/>
    <w:rsid w:val="00BC5380"/>
    <w:rsid w:val="00BC569F"/>
    <w:rsid w:val="00BD0074"/>
    <w:rsid w:val="00BD0994"/>
    <w:rsid w:val="00BD1D1B"/>
    <w:rsid w:val="00BD2FAC"/>
    <w:rsid w:val="00BD5E15"/>
    <w:rsid w:val="00BD6801"/>
    <w:rsid w:val="00BD7E13"/>
    <w:rsid w:val="00BE08DC"/>
    <w:rsid w:val="00BE10EA"/>
    <w:rsid w:val="00BE12BE"/>
    <w:rsid w:val="00BE29D3"/>
    <w:rsid w:val="00BE4925"/>
    <w:rsid w:val="00BF0E8C"/>
    <w:rsid w:val="00BF33C0"/>
    <w:rsid w:val="00BF473B"/>
    <w:rsid w:val="00BF487B"/>
    <w:rsid w:val="00BF49CE"/>
    <w:rsid w:val="00BF6B53"/>
    <w:rsid w:val="00C002EF"/>
    <w:rsid w:val="00C00ABD"/>
    <w:rsid w:val="00C01193"/>
    <w:rsid w:val="00C03117"/>
    <w:rsid w:val="00C03595"/>
    <w:rsid w:val="00C06148"/>
    <w:rsid w:val="00C0666A"/>
    <w:rsid w:val="00C102D7"/>
    <w:rsid w:val="00C11A96"/>
    <w:rsid w:val="00C1208E"/>
    <w:rsid w:val="00C1214B"/>
    <w:rsid w:val="00C1329C"/>
    <w:rsid w:val="00C15D2A"/>
    <w:rsid w:val="00C20194"/>
    <w:rsid w:val="00C206BC"/>
    <w:rsid w:val="00C20DF3"/>
    <w:rsid w:val="00C21A50"/>
    <w:rsid w:val="00C304E2"/>
    <w:rsid w:val="00C30978"/>
    <w:rsid w:val="00C315AA"/>
    <w:rsid w:val="00C32E64"/>
    <w:rsid w:val="00C33039"/>
    <w:rsid w:val="00C33167"/>
    <w:rsid w:val="00C36876"/>
    <w:rsid w:val="00C4075F"/>
    <w:rsid w:val="00C40E2C"/>
    <w:rsid w:val="00C41DF9"/>
    <w:rsid w:val="00C42AA6"/>
    <w:rsid w:val="00C457D5"/>
    <w:rsid w:val="00C45DC6"/>
    <w:rsid w:val="00C47226"/>
    <w:rsid w:val="00C53299"/>
    <w:rsid w:val="00C564B0"/>
    <w:rsid w:val="00C577F1"/>
    <w:rsid w:val="00C57CA8"/>
    <w:rsid w:val="00C60C33"/>
    <w:rsid w:val="00C62E63"/>
    <w:rsid w:val="00C63AC5"/>
    <w:rsid w:val="00C6408E"/>
    <w:rsid w:val="00C65801"/>
    <w:rsid w:val="00C701E2"/>
    <w:rsid w:val="00C721F8"/>
    <w:rsid w:val="00C7420F"/>
    <w:rsid w:val="00C76749"/>
    <w:rsid w:val="00C83F9C"/>
    <w:rsid w:val="00C872ED"/>
    <w:rsid w:val="00C873E3"/>
    <w:rsid w:val="00C87F2E"/>
    <w:rsid w:val="00C9277E"/>
    <w:rsid w:val="00C93DB5"/>
    <w:rsid w:val="00C949AE"/>
    <w:rsid w:val="00C9521B"/>
    <w:rsid w:val="00C95F28"/>
    <w:rsid w:val="00C95FE7"/>
    <w:rsid w:val="00C977CE"/>
    <w:rsid w:val="00CA27FD"/>
    <w:rsid w:val="00CA3FDF"/>
    <w:rsid w:val="00CA436C"/>
    <w:rsid w:val="00CA7290"/>
    <w:rsid w:val="00CB0A14"/>
    <w:rsid w:val="00CB13AB"/>
    <w:rsid w:val="00CB3106"/>
    <w:rsid w:val="00CB4689"/>
    <w:rsid w:val="00CB4A38"/>
    <w:rsid w:val="00CB6D13"/>
    <w:rsid w:val="00CC2D9F"/>
    <w:rsid w:val="00CC348C"/>
    <w:rsid w:val="00CC3642"/>
    <w:rsid w:val="00CC532A"/>
    <w:rsid w:val="00CC5CEA"/>
    <w:rsid w:val="00CD1AA4"/>
    <w:rsid w:val="00CD1F6B"/>
    <w:rsid w:val="00CD3031"/>
    <w:rsid w:val="00CD6BF6"/>
    <w:rsid w:val="00CE097C"/>
    <w:rsid w:val="00CE0F7C"/>
    <w:rsid w:val="00CE256F"/>
    <w:rsid w:val="00CE3EC1"/>
    <w:rsid w:val="00CE3FFB"/>
    <w:rsid w:val="00CE474C"/>
    <w:rsid w:val="00CE6853"/>
    <w:rsid w:val="00CE79A5"/>
    <w:rsid w:val="00CF0655"/>
    <w:rsid w:val="00CF2A81"/>
    <w:rsid w:val="00CF531A"/>
    <w:rsid w:val="00CF6279"/>
    <w:rsid w:val="00D00B2B"/>
    <w:rsid w:val="00D00D74"/>
    <w:rsid w:val="00D013FB"/>
    <w:rsid w:val="00D03BD2"/>
    <w:rsid w:val="00D05B5F"/>
    <w:rsid w:val="00D062AC"/>
    <w:rsid w:val="00D108EA"/>
    <w:rsid w:val="00D152B3"/>
    <w:rsid w:val="00D15DF3"/>
    <w:rsid w:val="00D16896"/>
    <w:rsid w:val="00D169BA"/>
    <w:rsid w:val="00D22ACF"/>
    <w:rsid w:val="00D2411C"/>
    <w:rsid w:val="00D24E0F"/>
    <w:rsid w:val="00D25114"/>
    <w:rsid w:val="00D3023F"/>
    <w:rsid w:val="00D334BA"/>
    <w:rsid w:val="00D359A2"/>
    <w:rsid w:val="00D35F56"/>
    <w:rsid w:val="00D4154C"/>
    <w:rsid w:val="00D43DA1"/>
    <w:rsid w:val="00D45968"/>
    <w:rsid w:val="00D56451"/>
    <w:rsid w:val="00D6263B"/>
    <w:rsid w:val="00D67ECD"/>
    <w:rsid w:val="00D736A4"/>
    <w:rsid w:val="00D80DD1"/>
    <w:rsid w:val="00D80F8E"/>
    <w:rsid w:val="00D8363D"/>
    <w:rsid w:val="00D87A2B"/>
    <w:rsid w:val="00D904FE"/>
    <w:rsid w:val="00D913EF"/>
    <w:rsid w:val="00D94274"/>
    <w:rsid w:val="00D94C57"/>
    <w:rsid w:val="00D94D04"/>
    <w:rsid w:val="00D95173"/>
    <w:rsid w:val="00D951F7"/>
    <w:rsid w:val="00D95B81"/>
    <w:rsid w:val="00DA1AF2"/>
    <w:rsid w:val="00DA21B8"/>
    <w:rsid w:val="00DA31B6"/>
    <w:rsid w:val="00DA7560"/>
    <w:rsid w:val="00DA7BC4"/>
    <w:rsid w:val="00DB0A40"/>
    <w:rsid w:val="00DB1C7C"/>
    <w:rsid w:val="00DB4A47"/>
    <w:rsid w:val="00DB5FC1"/>
    <w:rsid w:val="00DB6625"/>
    <w:rsid w:val="00DC2269"/>
    <w:rsid w:val="00DC3B46"/>
    <w:rsid w:val="00DC43D2"/>
    <w:rsid w:val="00DC5117"/>
    <w:rsid w:val="00DD0058"/>
    <w:rsid w:val="00DD2107"/>
    <w:rsid w:val="00DD2D16"/>
    <w:rsid w:val="00DD5D2F"/>
    <w:rsid w:val="00DD6495"/>
    <w:rsid w:val="00DD6B64"/>
    <w:rsid w:val="00DD6ED2"/>
    <w:rsid w:val="00DE22B0"/>
    <w:rsid w:val="00DE2A6C"/>
    <w:rsid w:val="00DE3202"/>
    <w:rsid w:val="00DE3D1C"/>
    <w:rsid w:val="00DE4009"/>
    <w:rsid w:val="00DF2241"/>
    <w:rsid w:val="00DF2EF9"/>
    <w:rsid w:val="00DF64FB"/>
    <w:rsid w:val="00E00E8B"/>
    <w:rsid w:val="00E03351"/>
    <w:rsid w:val="00E03DE8"/>
    <w:rsid w:val="00E0763A"/>
    <w:rsid w:val="00E11776"/>
    <w:rsid w:val="00E13E10"/>
    <w:rsid w:val="00E146BF"/>
    <w:rsid w:val="00E20CAD"/>
    <w:rsid w:val="00E20FB5"/>
    <w:rsid w:val="00E220C2"/>
    <w:rsid w:val="00E22737"/>
    <w:rsid w:val="00E235F0"/>
    <w:rsid w:val="00E27B4B"/>
    <w:rsid w:val="00E30181"/>
    <w:rsid w:val="00E32D55"/>
    <w:rsid w:val="00E32E5D"/>
    <w:rsid w:val="00E3359A"/>
    <w:rsid w:val="00E33AB5"/>
    <w:rsid w:val="00E35B7C"/>
    <w:rsid w:val="00E36FA6"/>
    <w:rsid w:val="00E4095F"/>
    <w:rsid w:val="00E415AD"/>
    <w:rsid w:val="00E41ACC"/>
    <w:rsid w:val="00E420F9"/>
    <w:rsid w:val="00E42718"/>
    <w:rsid w:val="00E4285C"/>
    <w:rsid w:val="00E44C07"/>
    <w:rsid w:val="00E501A8"/>
    <w:rsid w:val="00E537C3"/>
    <w:rsid w:val="00E54498"/>
    <w:rsid w:val="00E565ED"/>
    <w:rsid w:val="00E7158D"/>
    <w:rsid w:val="00E71FCB"/>
    <w:rsid w:val="00E72F1E"/>
    <w:rsid w:val="00E73997"/>
    <w:rsid w:val="00E75F2A"/>
    <w:rsid w:val="00E76032"/>
    <w:rsid w:val="00E76C09"/>
    <w:rsid w:val="00E774C2"/>
    <w:rsid w:val="00E834E9"/>
    <w:rsid w:val="00E83D92"/>
    <w:rsid w:val="00E86392"/>
    <w:rsid w:val="00E93719"/>
    <w:rsid w:val="00E94C8C"/>
    <w:rsid w:val="00E961A1"/>
    <w:rsid w:val="00EA46A9"/>
    <w:rsid w:val="00EA4F94"/>
    <w:rsid w:val="00EA747B"/>
    <w:rsid w:val="00EA7919"/>
    <w:rsid w:val="00EB0791"/>
    <w:rsid w:val="00EB388D"/>
    <w:rsid w:val="00EB3CCB"/>
    <w:rsid w:val="00EB4024"/>
    <w:rsid w:val="00EB4A67"/>
    <w:rsid w:val="00EB7D27"/>
    <w:rsid w:val="00EC0186"/>
    <w:rsid w:val="00EC05D5"/>
    <w:rsid w:val="00EC0BF6"/>
    <w:rsid w:val="00EC19DA"/>
    <w:rsid w:val="00EC7C76"/>
    <w:rsid w:val="00ED22EA"/>
    <w:rsid w:val="00ED29A4"/>
    <w:rsid w:val="00ED36A7"/>
    <w:rsid w:val="00ED4012"/>
    <w:rsid w:val="00ED4690"/>
    <w:rsid w:val="00ED4EE9"/>
    <w:rsid w:val="00ED540F"/>
    <w:rsid w:val="00ED7700"/>
    <w:rsid w:val="00EE5439"/>
    <w:rsid w:val="00EE58F5"/>
    <w:rsid w:val="00EE6FAF"/>
    <w:rsid w:val="00EF071F"/>
    <w:rsid w:val="00EF1B0C"/>
    <w:rsid w:val="00EF425C"/>
    <w:rsid w:val="00EF505B"/>
    <w:rsid w:val="00EF6B61"/>
    <w:rsid w:val="00F02A1A"/>
    <w:rsid w:val="00F03A15"/>
    <w:rsid w:val="00F04BC2"/>
    <w:rsid w:val="00F06784"/>
    <w:rsid w:val="00F126E1"/>
    <w:rsid w:val="00F15A20"/>
    <w:rsid w:val="00F1627E"/>
    <w:rsid w:val="00F17108"/>
    <w:rsid w:val="00F20282"/>
    <w:rsid w:val="00F20797"/>
    <w:rsid w:val="00F20BC5"/>
    <w:rsid w:val="00F21792"/>
    <w:rsid w:val="00F229A9"/>
    <w:rsid w:val="00F23DA5"/>
    <w:rsid w:val="00F32ACB"/>
    <w:rsid w:val="00F3729C"/>
    <w:rsid w:val="00F408CD"/>
    <w:rsid w:val="00F41944"/>
    <w:rsid w:val="00F45AB6"/>
    <w:rsid w:val="00F45EF9"/>
    <w:rsid w:val="00F4771F"/>
    <w:rsid w:val="00F5088B"/>
    <w:rsid w:val="00F50C46"/>
    <w:rsid w:val="00F525D5"/>
    <w:rsid w:val="00F55262"/>
    <w:rsid w:val="00F55931"/>
    <w:rsid w:val="00F628E1"/>
    <w:rsid w:val="00F67E54"/>
    <w:rsid w:val="00F71E4A"/>
    <w:rsid w:val="00F72E28"/>
    <w:rsid w:val="00F76655"/>
    <w:rsid w:val="00F77C1C"/>
    <w:rsid w:val="00F8237A"/>
    <w:rsid w:val="00F83C2E"/>
    <w:rsid w:val="00F859A3"/>
    <w:rsid w:val="00F86411"/>
    <w:rsid w:val="00F86AE9"/>
    <w:rsid w:val="00F932F9"/>
    <w:rsid w:val="00F945A7"/>
    <w:rsid w:val="00F95E4D"/>
    <w:rsid w:val="00F96875"/>
    <w:rsid w:val="00FA5986"/>
    <w:rsid w:val="00FA602D"/>
    <w:rsid w:val="00FA60ED"/>
    <w:rsid w:val="00FB5E48"/>
    <w:rsid w:val="00FB6941"/>
    <w:rsid w:val="00FB72D1"/>
    <w:rsid w:val="00FC0942"/>
    <w:rsid w:val="00FC6513"/>
    <w:rsid w:val="00FD0E47"/>
    <w:rsid w:val="00FD3D33"/>
    <w:rsid w:val="00FD3DD0"/>
    <w:rsid w:val="00FD40DB"/>
    <w:rsid w:val="00FD5E21"/>
    <w:rsid w:val="00FE197E"/>
    <w:rsid w:val="00FE3523"/>
    <w:rsid w:val="00FE4EB2"/>
    <w:rsid w:val="00FE7D50"/>
    <w:rsid w:val="00FF36C2"/>
    <w:rsid w:val="00FF44E6"/>
    <w:rsid w:val="00FF453D"/>
    <w:rsid w:val="00FF5EFE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C6761E-2123-47EF-83E6-B75FECB64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E3F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4A6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64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4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1E6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E69"/>
  </w:style>
  <w:style w:type="paragraph" w:styleId="Footer">
    <w:name w:val="footer"/>
    <w:basedOn w:val="Normal"/>
    <w:link w:val="FooterChar"/>
    <w:uiPriority w:val="99"/>
    <w:unhideWhenUsed/>
    <w:rsid w:val="00421E6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E69"/>
  </w:style>
  <w:style w:type="character" w:styleId="CommentReference">
    <w:name w:val="annotation reference"/>
    <w:basedOn w:val="DefaultParagraphFont"/>
    <w:uiPriority w:val="99"/>
    <w:semiHidden/>
    <w:unhideWhenUsed/>
    <w:rsid w:val="00FB5E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5E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5E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5E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5E4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E3D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0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731</Words>
  <Characters>4167</Characters>
  <Application>Microsoft Office Word</Application>
  <DocSecurity>6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US-EPA</Company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Etterson, Matthew</dc:creator>
  <cp:keywords/>
  <dc:description/>
  <cp:lastModifiedBy>Blankinship, Amy</cp:lastModifiedBy>
  <cp:revision>2</cp:revision>
  <dcterms:created xsi:type="dcterms:W3CDTF">2017-01-10T14:10:00Z</dcterms:created>
  <dcterms:modified xsi:type="dcterms:W3CDTF">2017-01-10T14:10:00Z</dcterms:modified>
</cp:coreProperties>
</file>