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B1285" w14:textId="7EECE2C7" w:rsidR="00210F0F" w:rsidRPr="00D93071" w:rsidRDefault="002902DF" w:rsidP="00865A49">
      <w:pPr>
        <w:spacing w:after="0" w:line="240" w:lineRule="auto"/>
        <w:rPr>
          <w:rFonts w:cs="Times New Roman"/>
          <w:b/>
          <w:sz w:val="24"/>
        </w:rPr>
      </w:pPr>
      <w:r>
        <w:rPr>
          <w:rFonts w:cs="Times New Roman"/>
          <w:b/>
          <w:sz w:val="24"/>
        </w:rPr>
        <w:t>APPENDIX</w:t>
      </w:r>
      <w:r w:rsidR="00132F83" w:rsidRPr="00D93071">
        <w:rPr>
          <w:rFonts w:cs="Times New Roman"/>
          <w:b/>
          <w:sz w:val="24"/>
        </w:rPr>
        <w:t xml:space="preserve"> 1-9.</w:t>
      </w:r>
      <w:r w:rsidR="00210F0F" w:rsidRPr="00D93071">
        <w:rPr>
          <w:rFonts w:cs="Times New Roman"/>
          <w:b/>
          <w:sz w:val="24"/>
        </w:rPr>
        <w:t xml:space="preserve"> </w:t>
      </w:r>
      <w:r w:rsidR="00503613" w:rsidRPr="00D93071">
        <w:rPr>
          <w:rFonts w:cs="Times New Roman"/>
          <w:b/>
          <w:sz w:val="24"/>
        </w:rPr>
        <w:t xml:space="preserve">Degradate </w:t>
      </w:r>
      <w:r w:rsidR="00277104" w:rsidRPr="00D93071">
        <w:rPr>
          <w:rFonts w:cs="Times New Roman"/>
          <w:b/>
          <w:sz w:val="24"/>
        </w:rPr>
        <w:t>line of evidence</w:t>
      </w:r>
    </w:p>
    <w:p w14:paraId="5E224770" w14:textId="77777777" w:rsidR="00210F0F" w:rsidRPr="00132F83" w:rsidRDefault="00210F0F" w:rsidP="00865A49">
      <w:pPr>
        <w:spacing w:after="0" w:line="240" w:lineRule="auto"/>
        <w:rPr>
          <w:rFonts w:cs="Times New Roman"/>
          <w:b/>
        </w:rPr>
      </w:pPr>
    </w:p>
    <w:p w14:paraId="641B8CB2" w14:textId="0750DBEB" w:rsidR="00210F0F" w:rsidRPr="00132F83" w:rsidRDefault="00A11582" w:rsidP="00865A49">
      <w:pPr>
        <w:spacing w:after="0" w:line="240" w:lineRule="auto"/>
        <w:rPr>
          <w:rFonts w:cs="Times New Roman"/>
          <w:b/>
          <w:i/>
        </w:rPr>
      </w:pPr>
      <w:r w:rsidRPr="00132F83">
        <w:rPr>
          <w:rFonts w:cs="Times New Roman"/>
          <w:b/>
          <w:i/>
        </w:rPr>
        <w:t xml:space="preserve">Identification of </w:t>
      </w:r>
      <w:r w:rsidR="0037632C" w:rsidRPr="00132F83">
        <w:rPr>
          <w:rFonts w:cs="Times New Roman"/>
          <w:b/>
          <w:i/>
        </w:rPr>
        <w:t>degradates</w:t>
      </w:r>
      <w:r w:rsidRPr="00132F83">
        <w:rPr>
          <w:rFonts w:cs="Times New Roman"/>
          <w:b/>
          <w:i/>
        </w:rPr>
        <w:t xml:space="preserve"> of concern</w:t>
      </w:r>
    </w:p>
    <w:p w14:paraId="39CE537C" w14:textId="77777777" w:rsidR="003E5ED1" w:rsidRPr="00132F83" w:rsidRDefault="003E5ED1" w:rsidP="00865A49">
      <w:pPr>
        <w:spacing w:after="0" w:line="240" w:lineRule="auto"/>
        <w:rPr>
          <w:rFonts w:cs="Times New Roman"/>
        </w:rPr>
      </w:pPr>
    </w:p>
    <w:p w14:paraId="7C810616" w14:textId="20C9BC3D" w:rsidR="003E5ED1" w:rsidRPr="00132F83" w:rsidRDefault="006F34A0" w:rsidP="00865A49">
      <w:pPr>
        <w:spacing w:after="0" w:line="240" w:lineRule="auto"/>
      </w:pPr>
      <w:r>
        <w:rPr>
          <w:rFonts w:cs="Times New Roman"/>
        </w:rPr>
        <w:t>Malathion</w:t>
      </w:r>
      <w:r w:rsidR="003E5ED1" w:rsidRPr="00132F83">
        <w:rPr>
          <w:rFonts w:cs="Times New Roman"/>
        </w:rPr>
        <w:t xml:space="preserve"> is known to form </w:t>
      </w:r>
      <w:r w:rsidR="002066F3">
        <w:rPr>
          <w:rFonts w:cs="Times New Roman"/>
        </w:rPr>
        <w:t>Malaoxon</w:t>
      </w:r>
      <w:r w:rsidR="003E5ED1" w:rsidRPr="00132F83">
        <w:rPr>
          <w:rFonts w:cs="Times New Roman"/>
        </w:rPr>
        <w:t xml:space="preserve"> (</w:t>
      </w:r>
      <w:r w:rsidR="003E5ED1" w:rsidRPr="00132F83">
        <w:rPr>
          <w:rFonts w:cs="Times New Roman"/>
          <w:b/>
        </w:rPr>
        <w:t xml:space="preserve">Figure </w:t>
      </w:r>
      <w:r w:rsidR="007E3A43">
        <w:rPr>
          <w:rFonts w:cs="Times New Roman"/>
          <w:b/>
        </w:rPr>
        <w:t>1-9.</w:t>
      </w:r>
      <w:r w:rsidR="003E5ED1" w:rsidRPr="00132F83">
        <w:rPr>
          <w:rFonts w:cs="Times New Roman"/>
          <w:b/>
        </w:rPr>
        <w:t>1</w:t>
      </w:r>
      <w:r w:rsidR="003E5ED1" w:rsidRPr="00132F83">
        <w:rPr>
          <w:rFonts w:cs="Times New Roman"/>
        </w:rPr>
        <w:t xml:space="preserve">). </w:t>
      </w:r>
      <w:r>
        <w:rPr>
          <w:rFonts w:cs="Times New Roman"/>
        </w:rPr>
        <w:t>Malathion</w:t>
      </w:r>
      <w:r w:rsidR="003E5ED1" w:rsidRPr="00132F83">
        <w:rPr>
          <w:rFonts w:cs="Times New Roman"/>
        </w:rPr>
        <w:t xml:space="preserve"> may oxidize in the environment to form the biologically active compound, </w:t>
      </w:r>
      <w:r w:rsidR="002066F3">
        <w:rPr>
          <w:rFonts w:cs="Times New Roman"/>
        </w:rPr>
        <w:t>malaoxon</w:t>
      </w:r>
      <w:r w:rsidR="003E5ED1" w:rsidRPr="00132F83">
        <w:rPr>
          <w:rFonts w:cs="Times New Roman"/>
        </w:rPr>
        <w:t xml:space="preserve">. </w:t>
      </w:r>
      <w:r w:rsidR="00BD2056" w:rsidRPr="00BD2056">
        <w:rPr>
          <w:rFonts w:cs="Times New Roman"/>
        </w:rPr>
        <w:t xml:space="preserve">The primary route for malathion dissipation is metabolism to the less toxic malathion dicarboxylic </w:t>
      </w:r>
      <w:r w:rsidR="007F28A4">
        <w:rPr>
          <w:rFonts w:cs="Times New Roman"/>
        </w:rPr>
        <w:t xml:space="preserve">(DCA) </w:t>
      </w:r>
      <w:r w:rsidR="00BD2056" w:rsidRPr="00BD2056">
        <w:rPr>
          <w:rFonts w:cs="Times New Roman"/>
        </w:rPr>
        <w:t>and monocarboxylic acids</w:t>
      </w:r>
      <w:r w:rsidR="007F28A4">
        <w:t xml:space="preserve"> (MCA).</w:t>
      </w:r>
      <w:r w:rsidR="003E5ED1" w:rsidRPr="00132F83">
        <w:t xml:space="preserve"> </w:t>
      </w:r>
    </w:p>
    <w:p w14:paraId="5AE99235" w14:textId="27D075F0" w:rsidR="00A11582" w:rsidRPr="00132F83" w:rsidRDefault="00A11582" w:rsidP="00865A49">
      <w:pPr>
        <w:spacing w:after="0" w:line="240" w:lineRule="auto"/>
        <w:rPr>
          <w:rFonts w:cs="Times New Roman"/>
        </w:rPr>
      </w:pPr>
    </w:p>
    <w:p w14:paraId="6CEABE51" w14:textId="733502AB" w:rsidR="00C931FC" w:rsidRPr="00132F83" w:rsidRDefault="00BD2056" w:rsidP="00865A49">
      <w:pPr>
        <w:spacing w:after="0" w:line="240" w:lineRule="auto"/>
        <w:rPr>
          <w:rFonts w:cs="Times New Roman"/>
        </w:rPr>
      </w:pPr>
      <w:r>
        <w:rPr>
          <w:rFonts w:cs="Times New Roman"/>
          <w:noProof/>
        </w:rPr>
        <w:drawing>
          <wp:inline distT="0" distB="0" distL="0" distR="0" wp14:anchorId="38D09380" wp14:editId="2039D7C9">
            <wp:extent cx="1000125" cy="82931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829310"/>
                    </a:xfrm>
                    <a:prstGeom prst="rect">
                      <a:avLst/>
                    </a:prstGeom>
                    <a:noFill/>
                  </pic:spPr>
                </pic:pic>
              </a:graphicData>
            </a:graphic>
          </wp:inline>
        </w:drawing>
      </w:r>
      <w:r>
        <w:rPr>
          <w:rFonts w:cs="Times New Roman"/>
          <w:noProof/>
        </w:rPr>
        <w:tab/>
      </w:r>
      <w:r>
        <w:rPr>
          <w:rFonts w:cs="Times New Roman"/>
          <w:noProof/>
        </w:rPr>
        <w:drawing>
          <wp:inline distT="0" distB="0" distL="0" distR="0" wp14:anchorId="45B96668" wp14:editId="45F32E3B">
            <wp:extent cx="1005840" cy="8534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853440"/>
                    </a:xfrm>
                    <a:prstGeom prst="rect">
                      <a:avLst/>
                    </a:prstGeom>
                    <a:noFill/>
                  </pic:spPr>
                </pic:pic>
              </a:graphicData>
            </a:graphic>
          </wp:inline>
        </w:drawing>
      </w:r>
      <w:r>
        <w:rPr>
          <w:rFonts w:cs="Times New Roman"/>
          <w:noProof/>
        </w:rPr>
        <w:tab/>
      </w:r>
      <w:r w:rsidR="00913AF9" w:rsidRPr="0036767A">
        <w:rPr>
          <w:noProof/>
        </w:rPr>
        <w:drawing>
          <wp:inline distT="0" distB="0" distL="0" distR="0" wp14:anchorId="028142E2" wp14:editId="33EF94A5">
            <wp:extent cx="921998" cy="641008"/>
            <wp:effectExtent l="0" t="0" r="0" b="0"/>
            <wp:docPr id="8" name="image05.png" descr="C:\Users\ashelb02\Desktop\monocarboxylic acid.png"/>
            <wp:cNvGraphicFramePr/>
            <a:graphic xmlns:a="http://schemas.openxmlformats.org/drawingml/2006/main">
              <a:graphicData uri="http://schemas.openxmlformats.org/drawingml/2006/picture">
                <pic:pic xmlns:pic="http://schemas.openxmlformats.org/drawingml/2006/picture">
                  <pic:nvPicPr>
                    <pic:cNvPr id="0" name="image05.png" descr="C:\Users\ashelb02\Desktop\monocarboxylic acid.png"/>
                    <pic:cNvPicPr preferRelativeResize="0"/>
                  </pic:nvPicPr>
                  <pic:blipFill>
                    <a:blip r:embed="rId9"/>
                    <a:srcRect/>
                    <a:stretch>
                      <a:fillRect/>
                    </a:stretch>
                  </pic:blipFill>
                  <pic:spPr>
                    <a:xfrm>
                      <a:off x="0" y="0"/>
                      <a:ext cx="921998" cy="641008"/>
                    </a:xfrm>
                    <a:prstGeom prst="rect">
                      <a:avLst/>
                    </a:prstGeom>
                    <a:ln/>
                  </pic:spPr>
                </pic:pic>
              </a:graphicData>
            </a:graphic>
          </wp:inline>
        </w:drawing>
      </w:r>
      <w:r w:rsidR="00913AF9">
        <w:rPr>
          <w:rFonts w:cs="Times New Roman"/>
          <w:noProof/>
        </w:rPr>
        <w:tab/>
      </w:r>
      <w:r w:rsidR="00913AF9" w:rsidRPr="0036767A">
        <w:rPr>
          <w:noProof/>
        </w:rPr>
        <w:drawing>
          <wp:inline distT="0" distB="0" distL="0" distR="0" wp14:anchorId="53B44498" wp14:editId="45B85967">
            <wp:extent cx="850456" cy="702121"/>
            <wp:effectExtent l="0" t="0" r="0" b="0"/>
            <wp:docPr id="4" name="image07.png" descr="C:\Users\ashelb02\Desktop\dicarboxylic acid structure.png"/>
            <wp:cNvGraphicFramePr/>
            <a:graphic xmlns:a="http://schemas.openxmlformats.org/drawingml/2006/main">
              <a:graphicData uri="http://schemas.openxmlformats.org/drawingml/2006/picture">
                <pic:pic xmlns:pic="http://schemas.openxmlformats.org/drawingml/2006/picture">
                  <pic:nvPicPr>
                    <pic:cNvPr id="0" name="image07.png" descr="C:\Users\ashelb02\Desktop\dicarboxylic acid structure.png"/>
                    <pic:cNvPicPr preferRelativeResize="0"/>
                  </pic:nvPicPr>
                  <pic:blipFill>
                    <a:blip r:embed="rId10"/>
                    <a:srcRect/>
                    <a:stretch>
                      <a:fillRect/>
                    </a:stretch>
                  </pic:blipFill>
                  <pic:spPr>
                    <a:xfrm>
                      <a:off x="0" y="0"/>
                      <a:ext cx="850456" cy="702121"/>
                    </a:xfrm>
                    <a:prstGeom prst="rect">
                      <a:avLst/>
                    </a:prstGeom>
                    <a:ln/>
                  </pic:spPr>
                </pic:pic>
              </a:graphicData>
            </a:graphic>
          </wp:inline>
        </w:drawing>
      </w:r>
      <w:r>
        <w:rPr>
          <w:rFonts w:cs="Times New Roman"/>
          <w:noProof/>
        </w:rPr>
        <w:tab/>
      </w:r>
    </w:p>
    <w:p w14:paraId="404502D9" w14:textId="7D003F99" w:rsidR="00C931FC" w:rsidRPr="00132F83" w:rsidRDefault="00C931FC" w:rsidP="00865A49">
      <w:pPr>
        <w:spacing w:after="0" w:line="240" w:lineRule="auto"/>
        <w:rPr>
          <w:rFonts w:cs="Times New Roman"/>
        </w:rPr>
      </w:pPr>
    </w:p>
    <w:p w14:paraId="42C5D7E4" w14:textId="4FAF9358" w:rsidR="00C931FC" w:rsidRPr="00132F83" w:rsidRDefault="00C931FC" w:rsidP="00865A49">
      <w:pPr>
        <w:spacing w:after="0" w:line="240" w:lineRule="auto"/>
        <w:rPr>
          <w:rFonts w:cs="Times New Roman"/>
          <w:b/>
        </w:rPr>
      </w:pPr>
      <w:r w:rsidRPr="00132F83">
        <w:rPr>
          <w:rFonts w:cs="Times New Roman"/>
          <w:b/>
        </w:rPr>
        <w:t xml:space="preserve">Figure </w:t>
      </w:r>
      <w:r w:rsidR="007E3A43">
        <w:rPr>
          <w:rFonts w:cs="Times New Roman"/>
          <w:b/>
        </w:rPr>
        <w:t>1-9.</w:t>
      </w:r>
      <w:r w:rsidRPr="00132F83">
        <w:rPr>
          <w:rFonts w:cs="Times New Roman"/>
          <w:b/>
        </w:rPr>
        <w:t xml:space="preserve">1. Structures of </w:t>
      </w:r>
      <w:r w:rsidR="006F34A0">
        <w:rPr>
          <w:rFonts w:cs="Times New Roman"/>
          <w:b/>
        </w:rPr>
        <w:t>malathion</w:t>
      </w:r>
      <w:r w:rsidRPr="00132F83">
        <w:rPr>
          <w:rFonts w:cs="Times New Roman"/>
          <w:b/>
        </w:rPr>
        <w:t xml:space="preserve">, </w:t>
      </w:r>
      <w:r w:rsidR="002066F3">
        <w:rPr>
          <w:rFonts w:cs="Times New Roman"/>
          <w:b/>
        </w:rPr>
        <w:t>malaoxon</w:t>
      </w:r>
      <w:r w:rsidR="007E3A43">
        <w:rPr>
          <w:rFonts w:cs="Times New Roman"/>
          <w:b/>
        </w:rPr>
        <w:t>,</w:t>
      </w:r>
      <w:r w:rsidRPr="00132F83">
        <w:rPr>
          <w:rFonts w:cs="Times New Roman"/>
          <w:b/>
        </w:rPr>
        <w:t xml:space="preserve"> and </w:t>
      </w:r>
      <w:r w:rsidR="00913AF9">
        <w:rPr>
          <w:rFonts w:cs="Times New Roman"/>
          <w:b/>
        </w:rPr>
        <w:t>mono</w:t>
      </w:r>
      <w:r w:rsidR="00BD2056">
        <w:rPr>
          <w:rFonts w:cs="Times New Roman"/>
          <w:b/>
        </w:rPr>
        <w:t xml:space="preserve">- and </w:t>
      </w:r>
      <w:r w:rsidR="00913AF9">
        <w:rPr>
          <w:rFonts w:cs="Times New Roman"/>
          <w:b/>
        </w:rPr>
        <w:t>di</w:t>
      </w:r>
      <w:r w:rsidR="00BD2056">
        <w:rPr>
          <w:rFonts w:cs="Times New Roman"/>
          <w:b/>
        </w:rPr>
        <w:t>- carboxylic acid</w:t>
      </w:r>
      <w:r w:rsidR="00913AF9">
        <w:rPr>
          <w:rFonts w:cs="Times New Roman"/>
          <w:b/>
        </w:rPr>
        <w:t>, respectively (from left to right)</w:t>
      </w:r>
      <w:r w:rsidRPr="00132F83">
        <w:rPr>
          <w:rFonts w:cs="Times New Roman"/>
          <w:b/>
        </w:rPr>
        <w:t xml:space="preserve">. </w:t>
      </w:r>
    </w:p>
    <w:p w14:paraId="75D85073" w14:textId="3AF815C7" w:rsidR="00C931FC" w:rsidRPr="00132F83" w:rsidRDefault="00C931FC" w:rsidP="00865A49">
      <w:pPr>
        <w:spacing w:after="0" w:line="240" w:lineRule="auto"/>
        <w:rPr>
          <w:rFonts w:cs="Times New Roman"/>
        </w:rPr>
      </w:pPr>
      <w:r w:rsidRPr="00132F83">
        <w:rPr>
          <w:rFonts w:cs="Times New Roman"/>
        </w:rPr>
        <w:t xml:space="preserve"> </w:t>
      </w:r>
    </w:p>
    <w:p w14:paraId="69C37D1D" w14:textId="0DFBDC82" w:rsidR="0037632C" w:rsidRPr="00132F83" w:rsidRDefault="00210F0F" w:rsidP="00865A49">
      <w:pPr>
        <w:spacing w:after="0" w:line="240" w:lineRule="auto"/>
        <w:rPr>
          <w:rFonts w:cs="Times New Roman"/>
        </w:rPr>
      </w:pPr>
      <w:r w:rsidRPr="00132F83">
        <w:rPr>
          <w:rFonts w:cs="Times New Roman"/>
        </w:rPr>
        <w:t xml:space="preserve">Data are available for </w:t>
      </w:r>
      <w:r w:rsidR="00F12EC2">
        <w:rPr>
          <w:rFonts w:cs="Times New Roman"/>
        </w:rPr>
        <w:t xml:space="preserve">fish, aquatic and terrestrial invertebrates, aquatic-phase amphibians, birds and mammals for </w:t>
      </w:r>
      <w:r w:rsidR="002066F3">
        <w:rPr>
          <w:rFonts w:cs="Times New Roman"/>
        </w:rPr>
        <w:t>malaoxon</w:t>
      </w:r>
      <w:r w:rsidRPr="00132F83">
        <w:rPr>
          <w:rFonts w:cs="Times New Roman"/>
        </w:rPr>
        <w:t xml:space="preserve"> (</w:t>
      </w:r>
      <w:r w:rsidR="00A11582" w:rsidRPr="00132F83">
        <w:rPr>
          <w:rFonts w:cs="Times New Roman"/>
          <w:b/>
        </w:rPr>
        <w:t>Table</w:t>
      </w:r>
      <w:r w:rsidR="00011EFC">
        <w:rPr>
          <w:rFonts w:cs="Times New Roman"/>
          <w:b/>
        </w:rPr>
        <w:t>s</w:t>
      </w:r>
      <w:r w:rsidR="00A11582" w:rsidRPr="00132F83">
        <w:rPr>
          <w:rFonts w:cs="Times New Roman"/>
          <w:b/>
        </w:rPr>
        <w:t xml:space="preserve"> </w:t>
      </w:r>
      <w:r w:rsidR="007E3A43">
        <w:rPr>
          <w:rFonts w:cs="Times New Roman"/>
          <w:b/>
        </w:rPr>
        <w:t>1-9.</w:t>
      </w:r>
      <w:r w:rsidR="00A11582" w:rsidRPr="00132F83">
        <w:rPr>
          <w:rFonts w:cs="Times New Roman"/>
          <w:b/>
        </w:rPr>
        <w:t>1</w:t>
      </w:r>
      <w:r w:rsidR="00011EFC">
        <w:rPr>
          <w:rFonts w:cs="Times New Roman"/>
          <w:b/>
        </w:rPr>
        <w:t xml:space="preserve"> and </w:t>
      </w:r>
      <w:r w:rsidR="007E3A43">
        <w:rPr>
          <w:rFonts w:cs="Times New Roman"/>
          <w:b/>
        </w:rPr>
        <w:t>1-9.</w:t>
      </w:r>
      <w:r w:rsidR="00011EFC">
        <w:rPr>
          <w:rFonts w:cs="Times New Roman"/>
          <w:b/>
        </w:rPr>
        <w:t>2</w:t>
      </w:r>
      <w:r w:rsidR="00A11582" w:rsidRPr="00132F83">
        <w:rPr>
          <w:rFonts w:cs="Times New Roman"/>
        </w:rPr>
        <w:t xml:space="preserve">). </w:t>
      </w:r>
      <w:r w:rsidR="00011EFC">
        <w:rPr>
          <w:rFonts w:cs="Times New Roman"/>
        </w:rPr>
        <w:t>For invertebrates</w:t>
      </w:r>
      <w:r w:rsidR="007F28A4">
        <w:rPr>
          <w:rFonts w:cs="Times New Roman"/>
        </w:rPr>
        <w:t xml:space="preserve"> and </w:t>
      </w:r>
      <w:r w:rsidR="00011EFC">
        <w:rPr>
          <w:rFonts w:cs="Times New Roman"/>
        </w:rPr>
        <w:t>some species of fish</w:t>
      </w:r>
      <w:r w:rsidR="007F28A4">
        <w:rPr>
          <w:rFonts w:cs="Times New Roman"/>
        </w:rPr>
        <w:t xml:space="preserve"> and birds (dietary-based)</w:t>
      </w:r>
      <w:r w:rsidR="00011EFC">
        <w:rPr>
          <w:rFonts w:cs="Times New Roman"/>
        </w:rPr>
        <w:t xml:space="preserve">, the toxicity values </w:t>
      </w:r>
      <w:r w:rsidR="007F28A4">
        <w:rPr>
          <w:rFonts w:cs="Times New Roman"/>
        </w:rPr>
        <w:t>between</w:t>
      </w:r>
      <w:r w:rsidR="00011EFC">
        <w:rPr>
          <w:rFonts w:cs="Times New Roman"/>
        </w:rPr>
        <w:t xml:space="preserve"> malathion and </w:t>
      </w:r>
      <w:r w:rsidR="002066F3">
        <w:rPr>
          <w:rFonts w:cs="Times New Roman"/>
        </w:rPr>
        <w:t>malaoxon</w:t>
      </w:r>
      <w:r w:rsidR="00011EFC">
        <w:rPr>
          <w:rFonts w:cs="Times New Roman"/>
        </w:rPr>
        <w:t xml:space="preserve"> are similar. </w:t>
      </w:r>
      <w:r w:rsidR="00194C37">
        <w:rPr>
          <w:rFonts w:cs="Times New Roman"/>
        </w:rPr>
        <w:t>However, t</w:t>
      </w:r>
      <w:r w:rsidR="006C7B60" w:rsidRPr="00132F83">
        <w:rPr>
          <w:rFonts w:cs="Times New Roman"/>
        </w:rPr>
        <w:t xml:space="preserve">he available </w:t>
      </w:r>
      <w:r w:rsidR="00194C37">
        <w:rPr>
          <w:rFonts w:cs="Times New Roman"/>
        </w:rPr>
        <w:t xml:space="preserve">avian (dose-based), mammalian, and aquatic-phase amphibian </w:t>
      </w:r>
      <w:r w:rsidR="006C7B60" w:rsidRPr="00132F83">
        <w:rPr>
          <w:rFonts w:cs="Times New Roman"/>
        </w:rPr>
        <w:t>data</w:t>
      </w:r>
      <w:r w:rsidR="0037632C" w:rsidRPr="00132F83">
        <w:rPr>
          <w:rFonts w:cs="Times New Roman"/>
        </w:rPr>
        <w:t xml:space="preserve"> indicate that </w:t>
      </w:r>
      <w:r w:rsidR="002066F3">
        <w:rPr>
          <w:rFonts w:cs="Times New Roman"/>
        </w:rPr>
        <w:t>malaoxon</w:t>
      </w:r>
      <w:r w:rsidRPr="00132F83">
        <w:rPr>
          <w:rFonts w:cs="Times New Roman"/>
        </w:rPr>
        <w:t xml:space="preserve"> is of greater toxicity </w:t>
      </w:r>
      <w:r w:rsidR="00A11582" w:rsidRPr="00132F83">
        <w:rPr>
          <w:rFonts w:cs="Times New Roman"/>
        </w:rPr>
        <w:t>compared to the parent</w:t>
      </w:r>
      <w:r w:rsidR="00194C37">
        <w:rPr>
          <w:rFonts w:cs="Times New Roman"/>
        </w:rPr>
        <w:t xml:space="preserve"> up to about 2 orders of ma</w:t>
      </w:r>
      <w:r w:rsidR="007F28A4">
        <w:rPr>
          <w:rFonts w:cs="Times New Roman"/>
        </w:rPr>
        <w:t>gnitude (aquatic-phase amphibians)</w:t>
      </w:r>
      <w:r w:rsidR="00A11582" w:rsidRPr="00132F83">
        <w:rPr>
          <w:rFonts w:cs="Times New Roman"/>
        </w:rPr>
        <w:t xml:space="preserve">.  </w:t>
      </w:r>
    </w:p>
    <w:p w14:paraId="23BC87CD" w14:textId="77777777" w:rsidR="0037632C" w:rsidRPr="00132F83" w:rsidRDefault="0037632C" w:rsidP="00865A49">
      <w:pPr>
        <w:spacing w:after="0" w:line="240" w:lineRule="auto"/>
        <w:rPr>
          <w:rFonts w:cs="Times New Roman"/>
        </w:rPr>
      </w:pPr>
    </w:p>
    <w:p w14:paraId="2E8F2B97" w14:textId="77777777" w:rsidR="00210F0F" w:rsidRPr="00132F83" w:rsidRDefault="00210F0F" w:rsidP="00865A49">
      <w:pPr>
        <w:spacing w:after="0" w:line="240" w:lineRule="auto"/>
        <w:rPr>
          <w:rFonts w:cs="Times New Roman"/>
          <w:highlight w:val="yellow"/>
        </w:rPr>
      </w:pPr>
    </w:p>
    <w:p w14:paraId="4588046A" w14:textId="77777777" w:rsidR="00210F0F" w:rsidRPr="00296E97" w:rsidRDefault="00210F0F" w:rsidP="00865A49">
      <w:pPr>
        <w:spacing w:after="0" w:line="240" w:lineRule="auto"/>
        <w:rPr>
          <w:rFonts w:cs="Times New Roman"/>
        </w:rPr>
      </w:pPr>
    </w:p>
    <w:p w14:paraId="0E1E3811" w14:textId="77777777" w:rsidR="00210F0F" w:rsidRPr="00132F83" w:rsidRDefault="00210F0F" w:rsidP="00865A49">
      <w:pPr>
        <w:spacing w:after="0" w:line="240" w:lineRule="auto"/>
        <w:rPr>
          <w:rFonts w:cs="Times New Roman"/>
          <w:b/>
        </w:rPr>
      </w:pPr>
      <w:r w:rsidRPr="00132F83">
        <w:rPr>
          <w:rFonts w:cs="Times New Roman"/>
          <w:b/>
        </w:rPr>
        <w:br w:type="page"/>
      </w:r>
    </w:p>
    <w:p w14:paraId="3859AAAF" w14:textId="77777777" w:rsidR="00210F0F" w:rsidRPr="00132F83" w:rsidRDefault="00210F0F" w:rsidP="00865A49">
      <w:pPr>
        <w:spacing w:after="0" w:line="240" w:lineRule="auto"/>
        <w:rPr>
          <w:rFonts w:cs="Times New Roman"/>
          <w:b/>
        </w:rPr>
        <w:sectPr w:rsidR="00210F0F" w:rsidRPr="00132F83">
          <w:footerReference w:type="default" r:id="rId11"/>
          <w:pgSz w:w="12240" w:h="15840"/>
          <w:pgMar w:top="1440" w:right="1440" w:bottom="1440" w:left="1440" w:header="720" w:footer="720" w:gutter="0"/>
          <w:pgNumType w:start="1"/>
          <w:cols w:space="720"/>
        </w:sectPr>
      </w:pPr>
    </w:p>
    <w:p w14:paraId="62F5D27D" w14:textId="31A5A0DA" w:rsidR="00210F0F" w:rsidRPr="00132F83" w:rsidRDefault="000E6085" w:rsidP="00865A49">
      <w:pPr>
        <w:spacing w:after="0" w:line="240" w:lineRule="auto"/>
        <w:rPr>
          <w:rFonts w:cs="Times New Roman"/>
          <w:b/>
        </w:rPr>
      </w:pPr>
      <w:r w:rsidRPr="00132F83">
        <w:rPr>
          <w:rFonts w:cs="Times New Roman"/>
          <w:b/>
        </w:rPr>
        <w:lastRenderedPageBreak/>
        <w:t xml:space="preserve">Table </w:t>
      </w:r>
      <w:r w:rsidR="007E3A43">
        <w:rPr>
          <w:rFonts w:cs="Times New Roman"/>
          <w:b/>
        </w:rPr>
        <w:t>1-9.</w:t>
      </w:r>
      <w:r w:rsidRPr="00132F83">
        <w:rPr>
          <w:rFonts w:cs="Times New Roman"/>
          <w:b/>
        </w:rPr>
        <w:t>1</w:t>
      </w:r>
      <w:r w:rsidR="00210F0F" w:rsidRPr="00132F83">
        <w:rPr>
          <w:rFonts w:cs="Times New Roman"/>
          <w:b/>
        </w:rPr>
        <w:t xml:space="preserve">. Comparison of </w:t>
      </w:r>
      <w:r w:rsidR="00F12EC2">
        <w:rPr>
          <w:rFonts w:cs="Times New Roman"/>
          <w:b/>
        </w:rPr>
        <w:t xml:space="preserve">acute mortality </w:t>
      </w:r>
      <w:r w:rsidR="00F6303D" w:rsidRPr="00132F83">
        <w:rPr>
          <w:rFonts w:cs="Times New Roman"/>
          <w:b/>
        </w:rPr>
        <w:t>toxicity data available</w:t>
      </w:r>
      <w:r w:rsidR="00011EFC">
        <w:rPr>
          <w:rFonts w:cs="Times New Roman"/>
          <w:b/>
        </w:rPr>
        <w:t xml:space="preserve"> for aquatic animals</w:t>
      </w:r>
      <w:r w:rsidR="00F6303D" w:rsidRPr="00132F83">
        <w:rPr>
          <w:rFonts w:cs="Times New Roman"/>
          <w:b/>
        </w:rPr>
        <w:t xml:space="preserve"> for </w:t>
      </w:r>
      <w:r w:rsidR="006F34A0">
        <w:rPr>
          <w:rFonts w:cs="Times New Roman"/>
          <w:b/>
        </w:rPr>
        <w:t>malathion</w:t>
      </w:r>
      <w:r w:rsidR="00F6303D" w:rsidRPr="00132F83">
        <w:rPr>
          <w:rFonts w:cs="Times New Roman"/>
          <w:b/>
        </w:rPr>
        <w:t xml:space="preserve"> and </w:t>
      </w:r>
      <w:r w:rsidR="002066F3">
        <w:rPr>
          <w:rFonts w:cs="Times New Roman"/>
          <w:b/>
        </w:rPr>
        <w:t>malaoxon</w:t>
      </w:r>
      <w:r w:rsidR="00210F0F" w:rsidRPr="00132F83">
        <w:rPr>
          <w:rFonts w:cs="Times New Roman"/>
          <w:b/>
        </w:rPr>
        <w:t>.</w:t>
      </w:r>
      <w:r w:rsidR="00F6303D" w:rsidRPr="00132F83">
        <w:rPr>
          <w:rFonts w:cs="Times New Roman"/>
          <w:b/>
        </w:rPr>
        <w:t xml:space="preserve"> </w:t>
      </w:r>
    </w:p>
    <w:p w14:paraId="35474D0E" w14:textId="70234A61" w:rsidR="006C7B60" w:rsidRPr="00132F83" w:rsidRDefault="006C7B60" w:rsidP="00865A49">
      <w:pPr>
        <w:spacing w:after="0" w:line="240" w:lineRule="auto"/>
        <w:rPr>
          <w:rFonts w:cs="Times New Roman"/>
        </w:rPr>
      </w:pPr>
    </w:p>
    <w:tbl>
      <w:tblPr>
        <w:tblStyle w:val="TableGrid1"/>
        <w:tblW w:w="0" w:type="auto"/>
        <w:tblLook w:val="04A0" w:firstRow="1" w:lastRow="0" w:firstColumn="1" w:lastColumn="0" w:noHBand="0" w:noVBand="1"/>
      </w:tblPr>
      <w:tblGrid>
        <w:gridCol w:w="2147"/>
        <w:gridCol w:w="2330"/>
        <w:gridCol w:w="2562"/>
        <w:gridCol w:w="2311"/>
      </w:tblGrid>
      <w:tr w:rsidR="00AF0C71" w:rsidRPr="00011EFC" w14:paraId="47B39169" w14:textId="68594EEA" w:rsidTr="00AF0C71">
        <w:tc>
          <w:tcPr>
            <w:tcW w:w="2147" w:type="dxa"/>
            <w:shd w:val="clear" w:color="auto" w:fill="E7E6E6" w:themeFill="background2"/>
          </w:tcPr>
          <w:p w14:paraId="0CCC1F75" w14:textId="77777777" w:rsidR="00AF0C71" w:rsidRPr="00011EFC" w:rsidRDefault="00AF0C71" w:rsidP="00011EFC">
            <w:pPr>
              <w:rPr>
                <w:b/>
              </w:rPr>
            </w:pPr>
            <w:r w:rsidRPr="00011EFC">
              <w:rPr>
                <w:b/>
              </w:rPr>
              <w:t>Species</w:t>
            </w:r>
          </w:p>
        </w:tc>
        <w:tc>
          <w:tcPr>
            <w:tcW w:w="2330" w:type="dxa"/>
            <w:shd w:val="clear" w:color="auto" w:fill="E7E6E6" w:themeFill="background2"/>
          </w:tcPr>
          <w:p w14:paraId="0DDF8640" w14:textId="77777777" w:rsidR="00AF0C71" w:rsidRPr="00011EFC" w:rsidRDefault="00AF0C71" w:rsidP="00011EFC">
            <w:pPr>
              <w:rPr>
                <w:b/>
              </w:rPr>
            </w:pPr>
            <w:r w:rsidRPr="00011EFC">
              <w:rPr>
                <w:b/>
              </w:rPr>
              <w:t>Malathion Toxicity Value</w:t>
            </w:r>
          </w:p>
          <w:p w14:paraId="532E084F" w14:textId="77777777" w:rsidR="00AF0C71" w:rsidRPr="00011EFC" w:rsidRDefault="00AF0C71" w:rsidP="00011EFC">
            <w:pPr>
              <w:rPr>
                <w:b/>
              </w:rPr>
            </w:pPr>
            <w:r w:rsidRPr="00011EFC">
              <w:rPr>
                <w:b/>
              </w:rPr>
              <w:t>(Reference)</w:t>
            </w:r>
          </w:p>
        </w:tc>
        <w:tc>
          <w:tcPr>
            <w:tcW w:w="2562" w:type="dxa"/>
            <w:shd w:val="clear" w:color="auto" w:fill="E7E6E6" w:themeFill="background2"/>
          </w:tcPr>
          <w:p w14:paraId="2801AE58" w14:textId="08FA419A" w:rsidR="00AF0C71" w:rsidRPr="00011EFC" w:rsidRDefault="00AF0C71" w:rsidP="00011EFC">
            <w:pPr>
              <w:rPr>
                <w:b/>
              </w:rPr>
            </w:pPr>
            <w:r>
              <w:rPr>
                <w:b/>
              </w:rPr>
              <w:t>Malaoxon</w:t>
            </w:r>
            <w:r w:rsidRPr="00011EFC">
              <w:rPr>
                <w:b/>
              </w:rPr>
              <w:t xml:space="preserve"> Toxicity Value</w:t>
            </w:r>
          </w:p>
          <w:p w14:paraId="638A322B" w14:textId="77777777" w:rsidR="00AF0C71" w:rsidRPr="00011EFC" w:rsidRDefault="00AF0C71" w:rsidP="00011EFC">
            <w:pPr>
              <w:rPr>
                <w:b/>
              </w:rPr>
            </w:pPr>
            <w:r w:rsidRPr="00011EFC">
              <w:rPr>
                <w:b/>
              </w:rPr>
              <w:t>(Reference)</w:t>
            </w:r>
          </w:p>
        </w:tc>
        <w:tc>
          <w:tcPr>
            <w:tcW w:w="2311" w:type="dxa"/>
            <w:shd w:val="clear" w:color="auto" w:fill="E7E6E6" w:themeFill="background2"/>
          </w:tcPr>
          <w:p w14:paraId="4535603E" w14:textId="7562308E" w:rsidR="00AF0C71" w:rsidRDefault="00AF0C71" w:rsidP="00011EFC">
            <w:pPr>
              <w:rPr>
                <w:b/>
              </w:rPr>
            </w:pPr>
            <w:r>
              <w:rPr>
                <w:b/>
              </w:rPr>
              <w:t>Ratio (malathion:malaoxon)</w:t>
            </w:r>
          </w:p>
        </w:tc>
      </w:tr>
      <w:tr w:rsidR="00AF0C71" w:rsidRPr="00011EFC" w14:paraId="3D162DBD" w14:textId="2BBA0051" w:rsidTr="00AF0C71">
        <w:tc>
          <w:tcPr>
            <w:tcW w:w="7039" w:type="dxa"/>
            <w:gridSpan w:val="3"/>
            <w:shd w:val="clear" w:color="auto" w:fill="E7E6E6" w:themeFill="background2"/>
          </w:tcPr>
          <w:p w14:paraId="4EDE314D" w14:textId="77777777" w:rsidR="00AF0C71" w:rsidRPr="00011EFC" w:rsidRDefault="00AF0C71" w:rsidP="00011EFC">
            <w:pPr>
              <w:rPr>
                <w:b/>
              </w:rPr>
            </w:pPr>
            <w:r w:rsidRPr="00011EFC">
              <w:rPr>
                <w:b/>
              </w:rPr>
              <w:t>Aquatic</w:t>
            </w:r>
          </w:p>
        </w:tc>
        <w:tc>
          <w:tcPr>
            <w:tcW w:w="2311" w:type="dxa"/>
            <w:shd w:val="clear" w:color="auto" w:fill="E7E6E6" w:themeFill="background2"/>
          </w:tcPr>
          <w:p w14:paraId="19AAFC71" w14:textId="77777777" w:rsidR="00AF0C71" w:rsidRPr="00011EFC" w:rsidRDefault="00AF0C71" w:rsidP="00011EFC">
            <w:pPr>
              <w:rPr>
                <w:b/>
              </w:rPr>
            </w:pPr>
          </w:p>
        </w:tc>
      </w:tr>
      <w:tr w:rsidR="00AF0C71" w:rsidRPr="00011EFC" w14:paraId="128BED66" w14:textId="4FA34CCC" w:rsidTr="00AF0C71">
        <w:trPr>
          <w:trHeight w:val="360"/>
        </w:trPr>
        <w:tc>
          <w:tcPr>
            <w:tcW w:w="2147" w:type="dxa"/>
            <w:vMerge w:val="restart"/>
          </w:tcPr>
          <w:p w14:paraId="16E5928A" w14:textId="77777777" w:rsidR="00AF0C71" w:rsidRPr="00011EFC" w:rsidRDefault="00AF0C71" w:rsidP="00011EFC">
            <w:r w:rsidRPr="00011EFC">
              <w:t>Rainbow trout</w:t>
            </w:r>
          </w:p>
          <w:p w14:paraId="00337AAC" w14:textId="77777777" w:rsidR="00AF0C71" w:rsidRPr="00011EFC" w:rsidRDefault="00AF0C71" w:rsidP="00011EFC">
            <w:r w:rsidRPr="00011EFC">
              <w:t>(</w:t>
            </w:r>
            <w:r w:rsidRPr="00011EFC">
              <w:rPr>
                <w:i/>
              </w:rPr>
              <w:t>Oncorhynchus mykiss</w:t>
            </w:r>
            <w:r w:rsidRPr="00011EFC">
              <w:t>)</w:t>
            </w:r>
          </w:p>
        </w:tc>
        <w:tc>
          <w:tcPr>
            <w:tcW w:w="2330" w:type="dxa"/>
          </w:tcPr>
          <w:p w14:paraId="51F5D759" w14:textId="77777777" w:rsidR="00AF0C71" w:rsidRPr="00011EFC" w:rsidRDefault="00AF0C71" w:rsidP="00011EFC">
            <w:r w:rsidRPr="00011EFC">
              <w:t>96-hr LC50 (</w:t>
            </w:r>
            <w:r w:rsidRPr="00011EFC">
              <w:rPr>
                <w:rFonts w:cstheme="minorHAnsi"/>
              </w:rPr>
              <w:t>µ</w:t>
            </w:r>
            <w:r w:rsidRPr="00011EFC">
              <w:t>g/L) =</w:t>
            </w:r>
          </w:p>
        </w:tc>
        <w:tc>
          <w:tcPr>
            <w:tcW w:w="2562" w:type="dxa"/>
            <w:vMerge w:val="restart"/>
          </w:tcPr>
          <w:p w14:paraId="5F535A62" w14:textId="77777777" w:rsidR="00AF0C71" w:rsidRPr="00011EFC" w:rsidRDefault="00AF0C71" w:rsidP="00011EFC">
            <w:r w:rsidRPr="00011EFC">
              <w:t xml:space="preserve">96-hr LC50 =  68 </w:t>
            </w:r>
            <w:r w:rsidRPr="00011EFC">
              <w:rPr>
                <w:rFonts w:cstheme="minorHAnsi"/>
              </w:rPr>
              <w:t>µ</w:t>
            </w:r>
            <w:r w:rsidRPr="00011EFC">
              <w:t>g/L</w:t>
            </w:r>
          </w:p>
          <w:p w14:paraId="1BBF3CCB" w14:textId="77777777" w:rsidR="00AF0C71" w:rsidRPr="00011EFC" w:rsidRDefault="00AF0C71" w:rsidP="00011EFC">
            <w:r w:rsidRPr="00011EFC">
              <w:t>(48571802)</w:t>
            </w:r>
          </w:p>
        </w:tc>
        <w:tc>
          <w:tcPr>
            <w:tcW w:w="2311" w:type="dxa"/>
            <w:vMerge w:val="restart"/>
          </w:tcPr>
          <w:p w14:paraId="46C60E78" w14:textId="7A7A5895" w:rsidR="00AF0C71" w:rsidRPr="00011EFC" w:rsidRDefault="00AF0C71" w:rsidP="00011EFC">
            <w:r>
              <w:t>0.5-2.9</w:t>
            </w:r>
          </w:p>
        </w:tc>
      </w:tr>
      <w:tr w:rsidR="00AF0C71" w:rsidRPr="00011EFC" w14:paraId="2C0BACEF" w14:textId="3725DBB3" w:rsidTr="00AF0C71">
        <w:trPr>
          <w:trHeight w:val="360"/>
        </w:trPr>
        <w:tc>
          <w:tcPr>
            <w:tcW w:w="2147" w:type="dxa"/>
            <w:vMerge/>
          </w:tcPr>
          <w:p w14:paraId="1D1F17A2" w14:textId="77777777" w:rsidR="00AF0C71" w:rsidRPr="00011EFC" w:rsidRDefault="00AF0C71" w:rsidP="00011EFC"/>
        </w:tc>
        <w:tc>
          <w:tcPr>
            <w:tcW w:w="2330" w:type="dxa"/>
          </w:tcPr>
          <w:p w14:paraId="4CDA5075" w14:textId="77777777" w:rsidR="00AF0C71" w:rsidRPr="00011EFC" w:rsidRDefault="00AF0C71" w:rsidP="00011EFC">
            <w:r w:rsidRPr="00011EFC">
              <w:t>33 (48078003)</w:t>
            </w:r>
          </w:p>
        </w:tc>
        <w:tc>
          <w:tcPr>
            <w:tcW w:w="2562" w:type="dxa"/>
            <w:vMerge/>
          </w:tcPr>
          <w:p w14:paraId="6E4D7197" w14:textId="77777777" w:rsidR="00AF0C71" w:rsidRPr="00011EFC" w:rsidRDefault="00AF0C71" w:rsidP="00011EFC"/>
        </w:tc>
        <w:tc>
          <w:tcPr>
            <w:tcW w:w="2311" w:type="dxa"/>
            <w:vMerge/>
          </w:tcPr>
          <w:p w14:paraId="426A2E28" w14:textId="77777777" w:rsidR="00AF0C71" w:rsidRPr="00011EFC" w:rsidRDefault="00AF0C71" w:rsidP="00011EFC"/>
        </w:tc>
      </w:tr>
      <w:tr w:rsidR="00AF0C71" w:rsidRPr="00011EFC" w14:paraId="16D8D369" w14:textId="7E797CFC" w:rsidTr="00AF0C71">
        <w:trPr>
          <w:trHeight w:val="360"/>
        </w:trPr>
        <w:tc>
          <w:tcPr>
            <w:tcW w:w="2147" w:type="dxa"/>
            <w:vMerge/>
          </w:tcPr>
          <w:p w14:paraId="56F6290F" w14:textId="77777777" w:rsidR="00AF0C71" w:rsidRPr="00011EFC" w:rsidRDefault="00AF0C71" w:rsidP="00011EFC"/>
        </w:tc>
        <w:tc>
          <w:tcPr>
            <w:tcW w:w="2330" w:type="dxa"/>
          </w:tcPr>
          <w:p w14:paraId="3C92154B" w14:textId="77777777" w:rsidR="00AF0C71" w:rsidRPr="00011EFC" w:rsidRDefault="00AF0C71" w:rsidP="00011EFC">
            <w:r w:rsidRPr="00011EFC">
              <w:t>152 (E12182)</w:t>
            </w:r>
          </w:p>
        </w:tc>
        <w:tc>
          <w:tcPr>
            <w:tcW w:w="2562" w:type="dxa"/>
            <w:vMerge/>
          </w:tcPr>
          <w:p w14:paraId="4B47A6DA" w14:textId="77777777" w:rsidR="00AF0C71" w:rsidRPr="00011EFC" w:rsidRDefault="00AF0C71" w:rsidP="00011EFC"/>
        </w:tc>
        <w:tc>
          <w:tcPr>
            <w:tcW w:w="2311" w:type="dxa"/>
            <w:vMerge/>
          </w:tcPr>
          <w:p w14:paraId="15BCC231" w14:textId="77777777" w:rsidR="00AF0C71" w:rsidRPr="00011EFC" w:rsidRDefault="00AF0C71" w:rsidP="00011EFC"/>
        </w:tc>
      </w:tr>
      <w:tr w:rsidR="00AF0C71" w:rsidRPr="00011EFC" w14:paraId="63056CE3" w14:textId="057281FC" w:rsidTr="00AF0C71">
        <w:trPr>
          <w:trHeight w:val="360"/>
        </w:trPr>
        <w:tc>
          <w:tcPr>
            <w:tcW w:w="2147" w:type="dxa"/>
            <w:vMerge/>
          </w:tcPr>
          <w:p w14:paraId="1733314C" w14:textId="77777777" w:rsidR="00AF0C71" w:rsidRPr="00011EFC" w:rsidRDefault="00AF0C71" w:rsidP="00011EFC"/>
        </w:tc>
        <w:tc>
          <w:tcPr>
            <w:tcW w:w="2330" w:type="dxa"/>
          </w:tcPr>
          <w:p w14:paraId="21F6F565" w14:textId="77777777" w:rsidR="00AF0C71" w:rsidRPr="00011EFC" w:rsidRDefault="00AF0C71" w:rsidP="00011EFC">
            <w:r w:rsidRPr="00011EFC">
              <w:t>170 (47540302)</w:t>
            </w:r>
          </w:p>
        </w:tc>
        <w:tc>
          <w:tcPr>
            <w:tcW w:w="2562" w:type="dxa"/>
            <w:vMerge/>
          </w:tcPr>
          <w:p w14:paraId="1A30F3CB" w14:textId="77777777" w:rsidR="00AF0C71" w:rsidRPr="00011EFC" w:rsidRDefault="00AF0C71" w:rsidP="00011EFC"/>
        </w:tc>
        <w:tc>
          <w:tcPr>
            <w:tcW w:w="2311" w:type="dxa"/>
            <w:vMerge/>
          </w:tcPr>
          <w:p w14:paraId="14F14C28" w14:textId="77777777" w:rsidR="00AF0C71" w:rsidRPr="00011EFC" w:rsidRDefault="00AF0C71" w:rsidP="00011EFC"/>
        </w:tc>
      </w:tr>
      <w:tr w:rsidR="00AF0C71" w:rsidRPr="00011EFC" w14:paraId="1FB8B673" w14:textId="0803696F" w:rsidTr="00AF0C71">
        <w:trPr>
          <w:trHeight w:val="360"/>
        </w:trPr>
        <w:tc>
          <w:tcPr>
            <w:tcW w:w="2147" w:type="dxa"/>
            <w:vMerge/>
          </w:tcPr>
          <w:p w14:paraId="622F3EDE" w14:textId="77777777" w:rsidR="00AF0C71" w:rsidRPr="00011EFC" w:rsidRDefault="00AF0C71" w:rsidP="00011EFC"/>
        </w:tc>
        <w:tc>
          <w:tcPr>
            <w:tcW w:w="2330" w:type="dxa"/>
          </w:tcPr>
          <w:p w14:paraId="498BB4E6" w14:textId="77777777" w:rsidR="00AF0C71" w:rsidRPr="00011EFC" w:rsidRDefault="00AF0C71" w:rsidP="00011EFC">
            <w:r w:rsidRPr="00011EFC">
              <w:t>66, 80, 94, 100, 138, 200</w:t>
            </w:r>
          </w:p>
          <w:p w14:paraId="0FA7A4C3" w14:textId="77777777" w:rsidR="00AF0C71" w:rsidRPr="00011EFC" w:rsidRDefault="00AF0C71" w:rsidP="00011EFC">
            <w:r w:rsidRPr="00011EFC">
              <w:t>(40098001)</w:t>
            </w:r>
          </w:p>
        </w:tc>
        <w:tc>
          <w:tcPr>
            <w:tcW w:w="2562" w:type="dxa"/>
            <w:vMerge/>
          </w:tcPr>
          <w:p w14:paraId="2D689213" w14:textId="77777777" w:rsidR="00AF0C71" w:rsidRPr="00011EFC" w:rsidRDefault="00AF0C71" w:rsidP="00011EFC"/>
        </w:tc>
        <w:tc>
          <w:tcPr>
            <w:tcW w:w="2311" w:type="dxa"/>
            <w:vMerge/>
          </w:tcPr>
          <w:p w14:paraId="05F08512" w14:textId="77777777" w:rsidR="00AF0C71" w:rsidRPr="00011EFC" w:rsidRDefault="00AF0C71" w:rsidP="00011EFC"/>
        </w:tc>
      </w:tr>
      <w:tr w:rsidR="00AF0C71" w:rsidRPr="00011EFC" w14:paraId="3E9934D5" w14:textId="772DAA6C" w:rsidTr="00AF0C71">
        <w:trPr>
          <w:trHeight w:val="360"/>
        </w:trPr>
        <w:tc>
          <w:tcPr>
            <w:tcW w:w="2147" w:type="dxa"/>
            <w:vMerge w:val="restart"/>
          </w:tcPr>
          <w:p w14:paraId="0C3C2190" w14:textId="77777777" w:rsidR="00AF0C71" w:rsidRPr="00011EFC" w:rsidRDefault="00AF0C71" w:rsidP="00011EFC">
            <w:r w:rsidRPr="00011EFC">
              <w:t>Bluegill sunfish</w:t>
            </w:r>
          </w:p>
          <w:p w14:paraId="79E0453C" w14:textId="77777777" w:rsidR="00AF0C71" w:rsidRPr="00011EFC" w:rsidRDefault="00AF0C71" w:rsidP="00011EFC">
            <w:r w:rsidRPr="00011EFC">
              <w:t>(</w:t>
            </w:r>
            <w:r w:rsidRPr="00011EFC">
              <w:rPr>
                <w:i/>
              </w:rPr>
              <w:t>Lepomis macrochirus</w:t>
            </w:r>
            <w:r w:rsidRPr="00011EFC">
              <w:t>)</w:t>
            </w:r>
          </w:p>
        </w:tc>
        <w:tc>
          <w:tcPr>
            <w:tcW w:w="2330" w:type="dxa"/>
          </w:tcPr>
          <w:p w14:paraId="2BCD0A48" w14:textId="77777777" w:rsidR="00AF0C71" w:rsidRPr="00011EFC" w:rsidRDefault="00AF0C71" w:rsidP="00011EFC">
            <w:r w:rsidRPr="00011EFC">
              <w:t>96-hr LC50 (</w:t>
            </w:r>
            <w:r w:rsidRPr="00011EFC">
              <w:rPr>
                <w:rFonts w:cstheme="minorHAnsi"/>
              </w:rPr>
              <w:t>µ</w:t>
            </w:r>
            <w:r w:rsidRPr="00011EFC">
              <w:t>g/L) =</w:t>
            </w:r>
          </w:p>
          <w:p w14:paraId="74102CD1" w14:textId="77777777" w:rsidR="00AF0C71" w:rsidRPr="00011EFC" w:rsidRDefault="00AF0C71" w:rsidP="00011EFC"/>
        </w:tc>
        <w:tc>
          <w:tcPr>
            <w:tcW w:w="2562" w:type="dxa"/>
            <w:vMerge w:val="restart"/>
          </w:tcPr>
          <w:p w14:paraId="2B9444C3" w14:textId="77777777" w:rsidR="00AF0C71" w:rsidRPr="00011EFC" w:rsidRDefault="00AF0C71" w:rsidP="00011EFC">
            <w:r w:rsidRPr="00011EFC">
              <w:t xml:space="preserve">96-hr LC50 = 57.9 </w:t>
            </w:r>
            <w:r w:rsidRPr="00011EFC">
              <w:rPr>
                <w:rFonts w:cstheme="minorHAnsi"/>
              </w:rPr>
              <w:t>µ</w:t>
            </w:r>
            <w:r w:rsidRPr="00011EFC">
              <w:t>g/L</w:t>
            </w:r>
          </w:p>
          <w:p w14:paraId="721EC9F9" w14:textId="77777777" w:rsidR="00AF0C71" w:rsidRPr="00011EFC" w:rsidRDefault="00AF0C71" w:rsidP="00011EFC">
            <w:r w:rsidRPr="00011EFC">
              <w:t>(48571801)</w:t>
            </w:r>
          </w:p>
          <w:p w14:paraId="22374D32" w14:textId="77777777" w:rsidR="00AF0C71" w:rsidRPr="00011EFC" w:rsidRDefault="00AF0C71" w:rsidP="00011EFC">
            <w:r w:rsidRPr="00011EFC">
              <w:t xml:space="preserve"> </w:t>
            </w:r>
          </w:p>
        </w:tc>
        <w:tc>
          <w:tcPr>
            <w:tcW w:w="2311" w:type="dxa"/>
            <w:vMerge w:val="restart"/>
          </w:tcPr>
          <w:p w14:paraId="2DEFFBDA" w14:textId="0C3087F1" w:rsidR="00AF0C71" w:rsidRPr="00011EFC" w:rsidRDefault="00AF0C71" w:rsidP="00011EFC">
            <w:r>
              <w:t>0.35-5.8</w:t>
            </w:r>
          </w:p>
        </w:tc>
      </w:tr>
      <w:tr w:rsidR="00AF0C71" w:rsidRPr="00011EFC" w14:paraId="677A84C5" w14:textId="6A9DB588" w:rsidTr="00AF0C71">
        <w:trPr>
          <w:trHeight w:val="360"/>
        </w:trPr>
        <w:tc>
          <w:tcPr>
            <w:tcW w:w="2147" w:type="dxa"/>
            <w:vMerge/>
          </w:tcPr>
          <w:p w14:paraId="168C95AA" w14:textId="77777777" w:rsidR="00AF0C71" w:rsidRPr="00011EFC" w:rsidRDefault="00AF0C71" w:rsidP="00011EFC"/>
        </w:tc>
        <w:tc>
          <w:tcPr>
            <w:tcW w:w="2330" w:type="dxa"/>
          </w:tcPr>
          <w:p w14:paraId="2A565CC5" w14:textId="77777777" w:rsidR="00AF0C71" w:rsidRPr="00011EFC" w:rsidRDefault="00AF0C71" w:rsidP="00011EFC">
            <w:r w:rsidRPr="00011EFC">
              <w:t>20, 30, 40, 55, 84, 87, 103, 110 (40098001)</w:t>
            </w:r>
          </w:p>
        </w:tc>
        <w:tc>
          <w:tcPr>
            <w:tcW w:w="2562" w:type="dxa"/>
            <w:vMerge/>
          </w:tcPr>
          <w:p w14:paraId="4E31CC61" w14:textId="77777777" w:rsidR="00AF0C71" w:rsidRPr="00011EFC" w:rsidRDefault="00AF0C71" w:rsidP="00011EFC"/>
        </w:tc>
        <w:tc>
          <w:tcPr>
            <w:tcW w:w="2311" w:type="dxa"/>
            <w:vMerge/>
          </w:tcPr>
          <w:p w14:paraId="3F4A0C5B" w14:textId="77777777" w:rsidR="00AF0C71" w:rsidRPr="00011EFC" w:rsidRDefault="00AF0C71" w:rsidP="00011EFC"/>
        </w:tc>
      </w:tr>
      <w:tr w:rsidR="00AF0C71" w:rsidRPr="00011EFC" w14:paraId="28B70A12" w14:textId="16C8D2C2" w:rsidTr="00AF0C71">
        <w:trPr>
          <w:trHeight w:val="360"/>
        </w:trPr>
        <w:tc>
          <w:tcPr>
            <w:tcW w:w="2147" w:type="dxa"/>
            <w:vMerge/>
          </w:tcPr>
          <w:p w14:paraId="62446A1B" w14:textId="77777777" w:rsidR="00AF0C71" w:rsidRPr="00011EFC" w:rsidRDefault="00AF0C71" w:rsidP="00011EFC"/>
        </w:tc>
        <w:tc>
          <w:tcPr>
            <w:tcW w:w="2330" w:type="dxa"/>
          </w:tcPr>
          <w:p w14:paraId="75A78744" w14:textId="77777777" w:rsidR="00AF0C71" w:rsidRPr="00011EFC" w:rsidRDefault="00AF0C71" w:rsidP="00011EFC">
            <w:r w:rsidRPr="00011EFC">
              <w:t>48 (47540304)</w:t>
            </w:r>
          </w:p>
        </w:tc>
        <w:tc>
          <w:tcPr>
            <w:tcW w:w="2562" w:type="dxa"/>
            <w:vMerge/>
          </w:tcPr>
          <w:p w14:paraId="36FD2667" w14:textId="77777777" w:rsidR="00AF0C71" w:rsidRPr="00011EFC" w:rsidRDefault="00AF0C71" w:rsidP="00011EFC"/>
        </w:tc>
        <w:tc>
          <w:tcPr>
            <w:tcW w:w="2311" w:type="dxa"/>
            <w:vMerge/>
          </w:tcPr>
          <w:p w14:paraId="314A0BD5" w14:textId="77777777" w:rsidR="00AF0C71" w:rsidRPr="00011EFC" w:rsidRDefault="00AF0C71" w:rsidP="00011EFC"/>
        </w:tc>
      </w:tr>
      <w:tr w:rsidR="00AF0C71" w:rsidRPr="00011EFC" w14:paraId="32D5C8A3" w14:textId="00B4BC6E" w:rsidTr="00AF0C71">
        <w:trPr>
          <w:trHeight w:val="360"/>
        </w:trPr>
        <w:tc>
          <w:tcPr>
            <w:tcW w:w="2147" w:type="dxa"/>
            <w:vMerge/>
          </w:tcPr>
          <w:p w14:paraId="110A276A" w14:textId="77777777" w:rsidR="00AF0C71" w:rsidRPr="00011EFC" w:rsidRDefault="00AF0C71" w:rsidP="00011EFC"/>
        </w:tc>
        <w:tc>
          <w:tcPr>
            <w:tcW w:w="2330" w:type="dxa"/>
          </w:tcPr>
          <w:p w14:paraId="4D96BCF0" w14:textId="77777777" w:rsidR="00AF0C71" w:rsidRPr="00011EFC" w:rsidRDefault="00AF0C71" w:rsidP="00011EFC">
            <w:r w:rsidRPr="00011EFC">
              <w:t>336 (E77525)</w:t>
            </w:r>
          </w:p>
        </w:tc>
        <w:tc>
          <w:tcPr>
            <w:tcW w:w="2562" w:type="dxa"/>
            <w:vMerge/>
          </w:tcPr>
          <w:p w14:paraId="2ADB1C34" w14:textId="77777777" w:rsidR="00AF0C71" w:rsidRPr="00011EFC" w:rsidRDefault="00AF0C71" w:rsidP="00011EFC"/>
        </w:tc>
        <w:tc>
          <w:tcPr>
            <w:tcW w:w="2311" w:type="dxa"/>
            <w:vMerge/>
          </w:tcPr>
          <w:p w14:paraId="30AD7777" w14:textId="77777777" w:rsidR="00AF0C71" w:rsidRPr="00011EFC" w:rsidRDefault="00AF0C71" w:rsidP="00011EFC"/>
        </w:tc>
      </w:tr>
      <w:tr w:rsidR="00AF0C71" w:rsidRPr="00011EFC" w14:paraId="26C70E0D" w14:textId="09CCF038" w:rsidTr="00AF0C71">
        <w:trPr>
          <w:trHeight w:val="360"/>
        </w:trPr>
        <w:tc>
          <w:tcPr>
            <w:tcW w:w="2147" w:type="dxa"/>
          </w:tcPr>
          <w:p w14:paraId="4E7EF592" w14:textId="77777777" w:rsidR="00AF0C71" w:rsidRPr="00011EFC" w:rsidRDefault="00AF0C71" w:rsidP="00011EFC">
            <w:r w:rsidRPr="00011EFC">
              <w:t>Yellow-legged frog</w:t>
            </w:r>
          </w:p>
          <w:p w14:paraId="779FD281" w14:textId="77777777" w:rsidR="00AF0C71" w:rsidRPr="00011EFC" w:rsidRDefault="00AF0C71" w:rsidP="00011EFC">
            <w:r w:rsidRPr="00011EFC">
              <w:t>(</w:t>
            </w:r>
            <w:r w:rsidRPr="00011EFC">
              <w:rPr>
                <w:i/>
              </w:rPr>
              <w:t>Rana boylii</w:t>
            </w:r>
            <w:r w:rsidRPr="00011EFC">
              <w:t>)</w:t>
            </w:r>
          </w:p>
        </w:tc>
        <w:tc>
          <w:tcPr>
            <w:tcW w:w="2330" w:type="dxa"/>
          </w:tcPr>
          <w:p w14:paraId="495B915A" w14:textId="77777777" w:rsidR="00AF0C71" w:rsidRPr="00011EFC" w:rsidRDefault="00AF0C71" w:rsidP="00011EFC">
            <w:r w:rsidRPr="00011EFC">
              <w:t xml:space="preserve">96-hr LC50 = 2137 </w:t>
            </w:r>
            <w:r w:rsidRPr="00011EFC">
              <w:rPr>
                <w:rFonts w:cstheme="minorHAnsi"/>
              </w:rPr>
              <w:t>µ</w:t>
            </w:r>
            <w:r w:rsidRPr="00011EFC">
              <w:t>g/L</w:t>
            </w:r>
          </w:p>
          <w:p w14:paraId="58E41883" w14:textId="77777777" w:rsidR="00AF0C71" w:rsidRPr="00011EFC" w:rsidRDefault="00AF0C71" w:rsidP="00011EFC">
            <w:r w:rsidRPr="00011EFC">
              <w:t>(E92498)</w:t>
            </w:r>
          </w:p>
        </w:tc>
        <w:tc>
          <w:tcPr>
            <w:tcW w:w="2562" w:type="dxa"/>
          </w:tcPr>
          <w:p w14:paraId="418D4C3B" w14:textId="77777777" w:rsidR="00AF0C71" w:rsidRPr="00011EFC" w:rsidRDefault="00AF0C71" w:rsidP="00011EFC">
            <w:r w:rsidRPr="00011EFC">
              <w:t xml:space="preserve">96-hr LC50 = 23.8 </w:t>
            </w:r>
            <w:r w:rsidRPr="00011EFC">
              <w:rPr>
                <w:rFonts w:cstheme="minorHAnsi"/>
              </w:rPr>
              <w:t>µ</w:t>
            </w:r>
            <w:r w:rsidRPr="00011EFC">
              <w:t>g/L</w:t>
            </w:r>
          </w:p>
          <w:p w14:paraId="64B249D3" w14:textId="77777777" w:rsidR="00AF0C71" w:rsidRPr="00011EFC" w:rsidRDefault="00AF0C71" w:rsidP="00011EFC">
            <w:r w:rsidRPr="00011EFC">
              <w:t>(E92498)</w:t>
            </w:r>
          </w:p>
        </w:tc>
        <w:tc>
          <w:tcPr>
            <w:tcW w:w="2311" w:type="dxa"/>
          </w:tcPr>
          <w:p w14:paraId="1628471C" w14:textId="3CDBD489" w:rsidR="00AF0C71" w:rsidRPr="00011EFC" w:rsidRDefault="00AF0C71" w:rsidP="00011EFC">
            <w:r>
              <w:t>90</w:t>
            </w:r>
          </w:p>
        </w:tc>
      </w:tr>
      <w:tr w:rsidR="00AF0C71" w:rsidRPr="00011EFC" w14:paraId="11E072EA" w14:textId="223CC631" w:rsidTr="00AF0C71">
        <w:trPr>
          <w:trHeight w:val="827"/>
        </w:trPr>
        <w:tc>
          <w:tcPr>
            <w:tcW w:w="2147" w:type="dxa"/>
          </w:tcPr>
          <w:p w14:paraId="3D72DFDD" w14:textId="77777777" w:rsidR="00AF0C71" w:rsidRPr="00011EFC" w:rsidRDefault="00AF0C71" w:rsidP="00011EFC">
            <w:r w:rsidRPr="00011EFC">
              <w:t>Carp</w:t>
            </w:r>
          </w:p>
          <w:p w14:paraId="7B0304A3" w14:textId="77777777" w:rsidR="00AF0C71" w:rsidRPr="00011EFC" w:rsidRDefault="00AF0C71" w:rsidP="00011EFC">
            <w:r w:rsidRPr="00011EFC">
              <w:t>(</w:t>
            </w:r>
            <w:r w:rsidRPr="00011EFC">
              <w:rPr>
                <w:i/>
              </w:rPr>
              <w:t>Cyprinus carpio</w:t>
            </w:r>
            <w:r w:rsidRPr="00011EFC">
              <w:t>)</w:t>
            </w:r>
          </w:p>
        </w:tc>
        <w:tc>
          <w:tcPr>
            <w:tcW w:w="2330" w:type="dxa"/>
          </w:tcPr>
          <w:p w14:paraId="79618028" w14:textId="77777777" w:rsidR="00AF0C71" w:rsidRPr="00011EFC" w:rsidRDefault="00AF0C71" w:rsidP="00011EFC">
            <w:r w:rsidRPr="00011EFC">
              <w:t xml:space="preserve">96-hr LC50 = </w:t>
            </w:r>
          </w:p>
          <w:p w14:paraId="2FABCCD9" w14:textId="2C7E6B54" w:rsidR="00AF0C71" w:rsidRPr="00011EFC" w:rsidRDefault="00AF0C71" w:rsidP="00011EFC">
            <w:r w:rsidRPr="00011EFC">
              <w:t xml:space="preserve">6590 &amp; 23180 </w:t>
            </w:r>
            <w:r w:rsidRPr="00011EFC">
              <w:rPr>
                <w:rFonts w:cstheme="minorHAnsi"/>
              </w:rPr>
              <w:t>µ</w:t>
            </w:r>
            <w:r w:rsidRPr="00011EFC">
              <w:t>g/L (40098001; E14861)</w:t>
            </w:r>
          </w:p>
        </w:tc>
        <w:tc>
          <w:tcPr>
            <w:tcW w:w="2562" w:type="dxa"/>
          </w:tcPr>
          <w:p w14:paraId="0E7DA537" w14:textId="77777777" w:rsidR="00AF0C71" w:rsidRPr="00011EFC" w:rsidRDefault="00AF0C71" w:rsidP="00011EFC">
            <w:r w:rsidRPr="00011EFC">
              <w:t xml:space="preserve">48-hr LC50 = </w:t>
            </w:r>
          </w:p>
          <w:p w14:paraId="28B3B982" w14:textId="0537D68C" w:rsidR="00AF0C71" w:rsidRPr="00011EFC" w:rsidRDefault="00AF0C71" w:rsidP="00011EFC">
            <w:r w:rsidRPr="00011EFC">
              <w:t xml:space="preserve">1600 </w:t>
            </w:r>
            <w:r w:rsidRPr="00011EFC">
              <w:rPr>
                <w:rFonts w:cstheme="minorHAnsi"/>
              </w:rPr>
              <w:t>µ</w:t>
            </w:r>
            <w:r w:rsidRPr="00011EFC">
              <w:t>g/L  (E86)</w:t>
            </w:r>
          </w:p>
        </w:tc>
        <w:tc>
          <w:tcPr>
            <w:tcW w:w="2311" w:type="dxa"/>
          </w:tcPr>
          <w:p w14:paraId="108C0CCC" w14:textId="2E53AB76" w:rsidR="00AF0C71" w:rsidRPr="00011EFC" w:rsidRDefault="00AF0C71" w:rsidP="00011EFC">
            <w:r>
              <w:t>4.1-14.5</w:t>
            </w:r>
          </w:p>
        </w:tc>
      </w:tr>
      <w:tr w:rsidR="00AF0C71" w:rsidRPr="00011EFC" w14:paraId="438DE66F" w14:textId="67D3B8C6" w:rsidTr="00AF0C71">
        <w:tc>
          <w:tcPr>
            <w:tcW w:w="2147" w:type="dxa"/>
          </w:tcPr>
          <w:p w14:paraId="6AA547CF" w14:textId="77777777" w:rsidR="00AF0C71" w:rsidRPr="00011EFC" w:rsidRDefault="00AF0C71" w:rsidP="00011EFC">
            <w:r w:rsidRPr="00011EFC">
              <w:t>Medaka</w:t>
            </w:r>
          </w:p>
          <w:p w14:paraId="61C0B101" w14:textId="77777777" w:rsidR="00AF0C71" w:rsidRPr="00011EFC" w:rsidRDefault="00AF0C71" w:rsidP="00011EFC">
            <w:r w:rsidRPr="00011EFC">
              <w:t>(</w:t>
            </w:r>
            <w:r w:rsidRPr="00011EFC">
              <w:rPr>
                <w:i/>
              </w:rPr>
              <w:t>Oryzias latipes</w:t>
            </w:r>
            <w:r w:rsidRPr="00011EFC">
              <w:t>)</w:t>
            </w:r>
          </w:p>
        </w:tc>
        <w:tc>
          <w:tcPr>
            <w:tcW w:w="2330" w:type="dxa"/>
          </w:tcPr>
          <w:p w14:paraId="38536747" w14:textId="77777777" w:rsidR="00AF0C71" w:rsidRPr="00011EFC" w:rsidRDefault="00AF0C71" w:rsidP="00011EFC">
            <w:r w:rsidRPr="00011EFC">
              <w:t xml:space="preserve">48-hr LC50 =  1800 </w:t>
            </w:r>
            <w:r w:rsidRPr="00011EFC">
              <w:rPr>
                <w:rFonts w:cstheme="minorHAnsi"/>
              </w:rPr>
              <w:t>µ</w:t>
            </w:r>
            <w:r w:rsidRPr="00011EFC">
              <w:t>g/L</w:t>
            </w:r>
          </w:p>
          <w:p w14:paraId="72ADE88E" w14:textId="77777777" w:rsidR="00AF0C71" w:rsidRPr="00011EFC" w:rsidRDefault="00AF0C71" w:rsidP="00011EFC">
            <w:r w:rsidRPr="00011EFC">
              <w:t>(E18398)</w:t>
            </w:r>
          </w:p>
        </w:tc>
        <w:tc>
          <w:tcPr>
            <w:tcW w:w="2562" w:type="dxa"/>
          </w:tcPr>
          <w:p w14:paraId="14BF80A8" w14:textId="77777777" w:rsidR="00AF0C71" w:rsidRPr="00011EFC" w:rsidRDefault="00AF0C71" w:rsidP="00011EFC">
            <w:r w:rsidRPr="00011EFC">
              <w:t xml:space="preserve">48-hr LC50 = 280 </w:t>
            </w:r>
            <w:r w:rsidRPr="00011EFC">
              <w:rPr>
                <w:rFonts w:cstheme="minorHAnsi"/>
              </w:rPr>
              <w:t>µ</w:t>
            </w:r>
            <w:r w:rsidRPr="00011EFC">
              <w:t>g/L</w:t>
            </w:r>
          </w:p>
          <w:p w14:paraId="11B76442" w14:textId="77777777" w:rsidR="00AF0C71" w:rsidRPr="00011EFC" w:rsidRDefault="00AF0C71" w:rsidP="00011EFC">
            <w:r w:rsidRPr="00011EFC">
              <w:t>(E18398)</w:t>
            </w:r>
          </w:p>
        </w:tc>
        <w:tc>
          <w:tcPr>
            <w:tcW w:w="2311" w:type="dxa"/>
          </w:tcPr>
          <w:p w14:paraId="40647123" w14:textId="5AE5A083" w:rsidR="00AF0C71" w:rsidRPr="00011EFC" w:rsidRDefault="00AF0C71" w:rsidP="00011EFC">
            <w:r>
              <w:t>6.4</w:t>
            </w:r>
          </w:p>
        </w:tc>
      </w:tr>
      <w:tr w:rsidR="00AF0C71" w:rsidRPr="00011EFC" w14:paraId="59230813" w14:textId="68552EC5" w:rsidTr="00AF0C71">
        <w:tc>
          <w:tcPr>
            <w:tcW w:w="2147" w:type="dxa"/>
          </w:tcPr>
          <w:p w14:paraId="35CDFB7A" w14:textId="77777777" w:rsidR="00AF0C71" w:rsidRPr="00011EFC" w:rsidRDefault="00AF0C71" w:rsidP="00011EFC">
            <w:r w:rsidRPr="00011EFC">
              <w:t>Blue catfish</w:t>
            </w:r>
          </w:p>
          <w:p w14:paraId="3A355847" w14:textId="77777777" w:rsidR="00AF0C71" w:rsidRPr="00011EFC" w:rsidRDefault="00AF0C71" w:rsidP="00011EFC">
            <w:r w:rsidRPr="00011EFC">
              <w:t>(Ictalurus farcatus)</w:t>
            </w:r>
          </w:p>
        </w:tc>
        <w:tc>
          <w:tcPr>
            <w:tcW w:w="2330" w:type="dxa"/>
          </w:tcPr>
          <w:p w14:paraId="2B887748" w14:textId="77777777" w:rsidR="00AF0C71" w:rsidRPr="00011EFC" w:rsidRDefault="00AF0C71" w:rsidP="00011EFC">
            <w:r w:rsidRPr="00011EFC">
              <w:t xml:space="preserve">96-hr LC50 =  17000 </w:t>
            </w:r>
            <w:r w:rsidRPr="00011EFC">
              <w:rPr>
                <w:rFonts w:cstheme="minorHAnsi"/>
              </w:rPr>
              <w:t>µ</w:t>
            </w:r>
            <w:r w:rsidRPr="00011EFC">
              <w:t>g/L</w:t>
            </w:r>
          </w:p>
          <w:p w14:paraId="2D54D6AE" w14:textId="77777777" w:rsidR="00AF0C71" w:rsidRPr="00011EFC" w:rsidRDefault="00AF0C71" w:rsidP="00011EFC">
            <w:r w:rsidRPr="00011EFC">
              <w:t>(E112921)</w:t>
            </w:r>
          </w:p>
        </w:tc>
        <w:tc>
          <w:tcPr>
            <w:tcW w:w="2562" w:type="dxa"/>
          </w:tcPr>
          <w:p w14:paraId="2ABC9CAA" w14:textId="77777777" w:rsidR="00AF0C71" w:rsidRPr="00011EFC" w:rsidRDefault="00AF0C71" w:rsidP="00011EFC">
            <w:r w:rsidRPr="00011EFC">
              <w:t xml:space="preserve">96-hr LC50 = 3100 </w:t>
            </w:r>
            <w:r w:rsidRPr="00011EFC">
              <w:rPr>
                <w:rFonts w:cstheme="minorHAnsi"/>
              </w:rPr>
              <w:t>µ</w:t>
            </w:r>
            <w:r w:rsidRPr="00011EFC">
              <w:t>g/L</w:t>
            </w:r>
          </w:p>
          <w:p w14:paraId="20D2FC3A" w14:textId="77777777" w:rsidR="00AF0C71" w:rsidRPr="00011EFC" w:rsidRDefault="00AF0C71" w:rsidP="00011EFC">
            <w:r w:rsidRPr="00011EFC">
              <w:t>(E112921)</w:t>
            </w:r>
          </w:p>
        </w:tc>
        <w:tc>
          <w:tcPr>
            <w:tcW w:w="2311" w:type="dxa"/>
          </w:tcPr>
          <w:p w14:paraId="26F01A5A" w14:textId="364BA8D8" w:rsidR="00AF0C71" w:rsidRPr="00011EFC" w:rsidRDefault="00AF0C71" w:rsidP="00011EFC">
            <w:r>
              <w:t>5.5</w:t>
            </w:r>
          </w:p>
        </w:tc>
      </w:tr>
      <w:tr w:rsidR="00AF0C71" w:rsidRPr="00011EFC" w14:paraId="43DDF66B" w14:textId="642FBFEA" w:rsidTr="00AF0C71">
        <w:tc>
          <w:tcPr>
            <w:tcW w:w="2147" w:type="dxa"/>
            <w:vMerge w:val="restart"/>
          </w:tcPr>
          <w:p w14:paraId="2FF993ED" w14:textId="77777777" w:rsidR="00AF0C71" w:rsidRPr="00011EFC" w:rsidRDefault="00AF0C71" w:rsidP="00011EFC">
            <w:r w:rsidRPr="00011EFC">
              <w:t xml:space="preserve">Water flea </w:t>
            </w:r>
          </w:p>
          <w:p w14:paraId="14ACA878" w14:textId="77777777" w:rsidR="00AF0C71" w:rsidRPr="00011EFC" w:rsidRDefault="00AF0C71" w:rsidP="00011EFC">
            <w:r w:rsidRPr="00011EFC">
              <w:t>(</w:t>
            </w:r>
            <w:r w:rsidRPr="00011EFC">
              <w:rPr>
                <w:i/>
              </w:rPr>
              <w:t>Daphnia magna</w:t>
            </w:r>
            <w:r w:rsidRPr="00011EFC">
              <w:t>)</w:t>
            </w:r>
          </w:p>
        </w:tc>
        <w:tc>
          <w:tcPr>
            <w:tcW w:w="2330" w:type="dxa"/>
          </w:tcPr>
          <w:p w14:paraId="3EC7AE01" w14:textId="77777777" w:rsidR="00AF0C71" w:rsidRPr="00011EFC" w:rsidRDefault="00AF0C71" w:rsidP="00011EFC">
            <w:r w:rsidRPr="00011EFC">
              <w:t>48-hr EC50 (</w:t>
            </w:r>
            <w:r w:rsidRPr="00011EFC">
              <w:rPr>
                <w:rFonts w:cstheme="minorHAnsi"/>
              </w:rPr>
              <w:t>µ</w:t>
            </w:r>
            <w:r w:rsidRPr="00011EFC">
              <w:t xml:space="preserve">g/L) = </w:t>
            </w:r>
          </w:p>
        </w:tc>
        <w:tc>
          <w:tcPr>
            <w:tcW w:w="2562" w:type="dxa"/>
          </w:tcPr>
          <w:p w14:paraId="0D6B2EDD" w14:textId="77777777" w:rsidR="00AF0C71" w:rsidRPr="00011EFC" w:rsidRDefault="00AF0C71" w:rsidP="00011EFC">
            <w:r w:rsidRPr="00011EFC">
              <w:t xml:space="preserve">48-hr EC50 = 0.31 </w:t>
            </w:r>
            <w:r w:rsidRPr="00011EFC">
              <w:rPr>
                <w:rFonts w:cstheme="minorHAnsi"/>
              </w:rPr>
              <w:t>µ</w:t>
            </w:r>
            <w:r w:rsidRPr="00011EFC">
              <w:t>g/L</w:t>
            </w:r>
          </w:p>
          <w:p w14:paraId="63F1873C" w14:textId="77777777" w:rsidR="00AF0C71" w:rsidRPr="00011EFC" w:rsidRDefault="00AF0C71" w:rsidP="00011EFC">
            <w:r w:rsidRPr="00011EFC">
              <w:t>(48571803)</w:t>
            </w:r>
          </w:p>
        </w:tc>
        <w:tc>
          <w:tcPr>
            <w:tcW w:w="2311" w:type="dxa"/>
          </w:tcPr>
          <w:p w14:paraId="16E27051" w14:textId="229AB861" w:rsidR="00AF0C71" w:rsidRPr="00011EFC" w:rsidRDefault="00AF0C71" w:rsidP="00011EFC">
            <w:r>
              <w:t>3-258</w:t>
            </w:r>
          </w:p>
        </w:tc>
      </w:tr>
      <w:tr w:rsidR="00AF0C71" w:rsidRPr="00011EFC" w14:paraId="3B757935" w14:textId="07FB9405" w:rsidTr="00AF0C71">
        <w:tc>
          <w:tcPr>
            <w:tcW w:w="2147" w:type="dxa"/>
            <w:vMerge/>
          </w:tcPr>
          <w:p w14:paraId="354336BF" w14:textId="77777777" w:rsidR="00AF0C71" w:rsidRPr="00011EFC" w:rsidRDefault="00AF0C71" w:rsidP="00011EFC"/>
        </w:tc>
        <w:tc>
          <w:tcPr>
            <w:tcW w:w="2330" w:type="dxa"/>
          </w:tcPr>
          <w:p w14:paraId="6E9808FD" w14:textId="77777777" w:rsidR="00AF0C71" w:rsidRPr="00011EFC" w:rsidRDefault="00AF0C71" w:rsidP="00011EFC">
            <w:r w:rsidRPr="00011EFC">
              <w:t>0.9 (E104559)</w:t>
            </w:r>
          </w:p>
        </w:tc>
        <w:tc>
          <w:tcPr>
            <w:tcW w:w="2562" w:type="dxa"/>
            <w:vMerge w:val="restart"/>
          </w:tcPr>
          <w:p w14:paraId="599DB650" w14:textId="77777777" w:rsidR="00AF0C71" w:rsidRPr="00011EFC" w:rsidRDefault="00AF0C71" w:rsidP="00011EFC">
            <w:r w:rsidRPr="00011EFC">
              <w:t>48-hr LC50 = 11.3 µg/L</w:t>
            </w:r>
          </w:p>
          <w:p w14:paraId="12680431" w14:textId="77777777" w:rsidR="00AF0C71" w:rsidRPr="00011EFC" w:rsidRDefault="00AF0C71" w:rsidP="00011EFC">
            <w:r w:rsidRPr="00011EFC">
              <w:t>(E156795)</w:t>
            </w:r>
          </w:p>
        </w:tc>
        <w:tc>
          <w:tcPr>
            <w:tcW w:w="2311" w:type="dxa"/>
            <w:vMerge w:val="restart"/>
          </w:tcPr>
          <w:p w14:paraId="596A26F5" w14:textId="24A01DEF" w:rsidR="00AF0C71" w:rsidRPr="00011EFC" w:rsidRDefault="00AF0C71" w:rsidP="00011EFC">
            <w:r>
              <w:t>0.07-7.1</w:t>
            </w:r>
          </w:p>
        </w:tc>
      </w:tr>
      <w:tr w:rsidR="00AF0C71" w:rsidRPr="00011EFC" w14:paraId="0CF2A3C7" w14:textId="5865661C" w:rsidTr="00AF0C71">
        <w:tc>
          <w:tcPr>
            <w:tcW w:w="2147" w:type="dxa"/>
            <w:vMerge/>
          </w:tcPr>
          <w:p w14:paraId="24B7C2F1" w14:textId="77777777" w:rsidR="00AF0C71" w:rsidRPr="00011EFC" w:rsidRDefault="00AF0C71" w:rsidP="00011EFC"/>
        </w:tc>
        <w:tc>
          <w:tcPr>
            <w:tcW w:w="2330" w:type="dxa"/>
          </w:tcPr>
          <w:p w14:paraId="38BE657A" w14:textId="77777777" w:rsidR="00AF0C71" w:rsidRPr="00011EFC" w:rsidRDefault="00AF0C71" w:rsidP="00011EFC">
            <w:r w:rsidRPr="00011EFC">
              <w:t>1 (40098001)</w:t>
            </w:r>
          </w:p>
        </w:tc>
        <w:tc>
          <w:tcPr>
            <w:tcW w:w="2562" w:type="dxa"/>
            <w:vMerge/>
          </w:tcPr>
          <w:p w14:paraId="7B47CF8F" w14:textId="77777777" w:rsidR="00AF0C71" w:rsidRPr="00011EFC" w:rsidRDefault="00AF0C71" w:rsidP="00011EFC"/>
        </w:tc>
        <w:tc>
          <w:tcPr>
            <w:tcW w:w="2311" w:type="dxa"/>
            <w:vMerge/>
          </w:tcPr>
          <w:p w14:paraId="450B2999" w14:textId="77777777" w:rsidR="00AF0C71" w:rsidRPr="00011EFC" w:rsidRDefault="00AF0C71" w:rsidP="00011EFC"/>
        </w:tc>
      </w:tr>
      <w:tr w:rsidR="00AF0C71" w:rsidRPr="00011EFC" w14:paraId="2036A2DC" w14:textId="58479BDC" w:rsidTr="00AF0C71">
        <w:tc>
          <w:tcPr>
            <w:tcW w:w="2147" w:type="dxa"/>
            <w:vMerge/>
          </w:tcPr>
          <w:p w14:paraId="5381C276" w14:textId="77777777" w:rsidR="00AF0C71" w:rsidRPr="00011EFC" w:rsidRDefault="00AF0C71" w:rsidP="00011EFC"/>
        </w:tc>
        <w:tc>
          <w:tcPr>
            <w:tcW w:w="2330" w:type="dxa"/>
          </w:tcPr>
          <w:p w14:paraId="340E1969" w14:textId="77777777" w:rsidR="00AF0C71" w:rsidRPr="00011EFC" w:rsidRDefault="00AF0C71" w:rsidP="00011EFC">
            <w:r w:rsidRPr="00011EFC">
              <w:t>1.58 (E5370)</w:t>
            </w:r>
          </w:p>
        </w:tc>
        <w:tc>
          <w:tcPr>
            <w:tcW w:w="2562" w:type="dxa"/>
            <w:vMerge/>
          </w:tcPr>
          <w:p w14:paraId="1BF1A43E" w14:textId="77777777" w:rsidR="00AF0C71" w:rsidRPr="00011EFC" w:rsidRDefault="00AF0C71" w:rsidP="00011EFC"/>
        </w:tc>
        <w:tc>
          <w:tcPr>
            <w:tcW w:w="2311" w:type="dxa"/>
            <w:vMerge/>
          </w:tcPr>
          <w:p w14:paraId="4E33397D" w14:textId="77777777" w:rsidR="00AF0C71" w:rsidRPr="00011EFC" w:rsidRDefault="00AF0C71" w:rsidP="00011EFC"/>
        </w:tc>
      </w:tr>
      <w:tr w:rsidR="00AF0C71" w:rsidRPr="00011EFC" w14:paraId="75028A76" w14:textId="1E313FD6" w:rsidTr="00AF0C71">
        <w:tc>
          <w:tcPr>
            <w:tcW w:w="2147" w:type="dxa"/>
            <w:vMerge/>
          </w:tcPr>
          <w:p w14:paraId="6B129E92" w14:textId="77777777" w:rsidR="00AF0C71" w:rsidRPr="00011EFC" w:rsidRDefault="00AF0C71" w:rsidP="00011EFC"/>
        </w:tc>
        <w:tc>
          <w:tcPr>
            <w:tcW w:w="2330" w:type="dxa"/>
          </w:tcPr>
          <w:p w14:paraId="445A4046" w14:textId="77777777" w:rsidR="00AF0C71" w:rsidRPr="00011EFC" w:rsidRDefault="00AF0C71" w:rsidP="00011EFC">
            <w:r w:rsidRPr="00011EFC">
              <w:t>1.6-2.2 (E6449)</w:t>
            </w:r>
          </w:p>
        </w:tc>
        <w:tc>
          <w:tcPr>
            <w:tcW w:w="2562" w:type="dxa"/>
            <w:vMerge/>
          </w:tcPr>
          <w:p w14:paraId="5560935F" w14:textId="77777777" w:rsidR="00AF0C71" w:rsidRPr="00011EFC" w:rsidRDefault="00AF0C71" w:rsidP="00011EFC"/>
        </w:tc>
        <w:tc>
          <w:tcPr>
            <w:tcW w:w="2311" w:type="dxa"/>
            <w:vMerge/>
          </w:tcPr>
          <w:p w14:paraId="626ABCE5" w14:textId="77777777" w:rsidR="00AF0C71" w:rsidRPr="00011EFC" w:rsidRDefault="00AF0C71" w:rsidP="00011EFC"/>
        </w:tc>
      </w:tr>
      <w:tr w:rsidR="00AF0C71" w:rsidRPr="00011EFC" w14:paraId="66485E82" w14:textId="33DD9A53" w:rsidTr="00AF0C71">
        <w:tc>
          <w:tcPr>
            <w:tcW w:w="2147" w:type="dxa"/>
            <w:vMerge/>
          </w:tcPr>
          <w:p w14:paraId="7D86C0BB" w14:textId="77777777" w:rsidR="00AF0C71" w:rsidRPr="00011EFC" w:rsidRDefault="00AF0C71" w:rsidP="00011EFC"/>
        </w:tc>
        <w:tc>
          <w:tcPr>
            <w:tcW w:w="2330" w:type="dxa"/>
          </w:tcPr>
          <w:p w14:paraId="359CCD7B" w14:textId="77777777" w:rsidR="00AF0C71" w:rsidRPr="00011EFC" w:rsidRDefault="00AF0C71" w:rsidP="00011EFC">
            <w:r w:rsidRPr="00011EFC">
              <w:t>1.8 (E96171)</w:t>
            </w:r>
          </w:p>
        </w:tc>
        <w:tc>
          <w:tcPr>
            <w:tcW w:w="2562" w:type="dxa"/>
            <w:vMerge/>
          </w:tcPr>
          <w:p w14:paraId="5B83B1C9" w14:textId="77777777" w:rsidR="00AF0C71" w:rsidRPr="00011EFC" w:rsidRDefault="00AF0C71" w:rsidP="00011EFC"/>
        </w:tc>
        <w:tc>
          <w:tcPr>
            <w:tcW w:w="2311" w:type="dxa"/>
            <w:vMerge/>
          </w:tcPr>
          <w:p w14:paraId="577622AA" w14:textId="77777777" w:rsidR="00AF0C71" w:rsidRPr="00011EFC" w:rsidRDefault="00AF0C71" w:rsidP="00011EFC"/>
        </w:tc>
      </w:tr>
      <w:tr w:rsidR="00AF0C71" w:rsidRPr="00011EFC" w14:paraId="03A5AF36" w14:textId="6A1CBCA8" w:rsidTr="00AF0C71">
        <w:tc>
          <w:tcPr>
            <w:tcW w:w="2147" w:type="dxa"/>
            <w:vMerge/>
          </w:tcPr>
          <w:p w14:paraId="015E900D" w14:textId="77777777" w:rsidR="00AF0C71" w:rsidRPr="00011EFC" w:rsidRDefault="00AF0C71" w:rsidP="00011EFC"/>
        </w:tc>
        <w:tc>
          <w:tcPr>
            <w:tcW w:w="2330" w:type="dxa"/>
          </w:tcPr>
          <w:p w14:paraId="23C8E8A3" w14:textId="77777777" w:rsidR="00AF0C71" w:rsidRPr="00011EFC" w:rsidRDefault="00AF0C71" w:rsidP="00011EFC">
            <w:r w:rsidRPr="00011EFC">
              <w:t>3.53 (E80724)</w:t>
            </w:r>
          </w:p>
        </w:tc>
        <w:tc>
          <w:tcPr>
            <w:tcW w:w="2562" w:type="dxa"/>
            <w:vMerge/>
          </w:tcPr>
          <w:p w14:paraId="6D918B9B" w14:textId="77777777" w:rsidR="00AF0C71" w:rsidRPr="00011EFC" w:rsidRDefault="00AF0C71" w:rsidP="00011EFC"/>
        </w:tc>
        <w:tc>
          <w:tcPr>
            <w:tcW w:w="2311" w:type="dxa"/>
            <w:vMerge/>
          </w:tcPr>
          <w:p w14:paraId="6B7E5E42" w14:textId="77777777" w:rsidR="00AF0C71" w:rsidRPr="00011EFC" w:rsidRDefault="00AF0C71" w:rsidP="00011EFC"/>
        </w:tc>
      </w:tr>
      <w:tr w:rsidR="00AF0C71" w:rsidRPr="00011EFC" w14:paraId="3466F283" w14:textId="69F2F306" w:rsidTr="00AF0C71">
        <w:tc>
          <w:tcPr>
            <w:tcW w:w="2147" w:type="dxa"/>
            <w:vMerge/>
          </w:tcPr>
          <w:p w14:paraId="063F6A16" w14:textId="77777777" w:rsidR="00AF0C71" w:rsidRPr="00011EFC" w:rsidRDefault="00AF0C71" w:rsidP="00011EFC"/>
        </w:tc>
        <w:tc>
          <w:tcPr>
            <w:tcW w:w="2330" w:type="dxa"/>
          </w:tcPr>
          <w:p w14:paraId="49D57BB3" w14:textId="77777777" w:rsidR="00AF0C71" w:rsidRPr="00011EFC" w:rsidRDefault="00AF0C71" w:rsidP="00011EFC">
            <w:r w:rsidRPr="00011EFC">
              <w:t>10.7 (E156795)</w:t>
            </w:r>
          </w:p>
        </w:tc>
        <w:tc>
          <w:tcPr>
            <w:tcW w:w="2562" w:type="dxa"/>
            <w:vMerge/>
          </w:tcPr>
          <w:p w14:paraId="1DF7543A" w14:textId="77777777" w:rsidR="00AF0C71" w:rsidRPr="00011EFC" w:rsidRDefault="00AF0C71" w:rsidP="00011EFC"/>
        </w:tc>
        <w:tc>
          <w:tcPr>
            <w:tcW w:w="2311" w:type="dxa"/>
            <w:vMerge/>
          </w:tcPr>
          <w:p w14:paraId="2862207F" w14:textId="77777777" w:rsidR="00AF0C71" w:rsidRPr="00011EFC" w:rsidRDefault="00AF0C71" w:rsidP="00011EFC"/>
        </w:tc>
      </w:tr>
      <w:tr w:rsidR="00AF0C71" w:rsidRPr="00011EFC" w14:paraId="38FE20E3" w14:textId="57857084" w:rsidTr="00AF0C71">
        <w:tc>
          <w:tcPr>
            <w:tcW w:w="2147" w:type="dxa"/>
            <w:vMerge/>
          </w:tcPr>
          <w:p w14:paraId="6C726354" w14:textId="77777777" w:rsidR="00AF0C71" w:rsidRPr="00011EFC" w:rsidRDefault="00AF0C71" w:rsidP="00011EFC"/>
        </w:tc>
        <w:tc>
          <w:tcPr>
            <w:tcW w:w="2330" w:type="dxa"/>
          </w:tcPr>
          <w:p w14:paraId="7B598240" w14:textId="77777777" w:rsidR="00AF0C71" w:rsidRPr="00011EFC" w:rsidRDefault="00AF0C71" w:rsidP="00011EFC">
            <w:r w:rsidRPr="00011EFC">
              <w:t>80 (E94536)</w:t>
            </w:r>
          </w:p>
        </w:tc>
        <w:tc>
          <w:tcPr>
            <w:tcW w:w="2562" w:type="dxa"/>
            <w:vMerge/>
          </w:tcPr>
          <w:p w14:paraId="33E6D174" w14:textId="77777777" w:rsidR="00AF0C71" w:rsidRPr="00011EFC" w:rsidRDefault="00AF0C71" w:rsidP="00011EFC"/>
        </w:tc>
        <w:tc>
          <w:tcPr>
            <w:tcW w:w="2311" w:type="dxa"/>
            <w:vMerge/>
          </w:tcPr>
          <w:p w14:paraId="353A63A0" w14:textId="77777777" w:rsidR="00AF0C71" w:rsidRPr="00011EFC" w:rsidRDefault="00AF0C71" w:rsidP="00011EFC"/>
        </w:tc>
      </w:tr>
      <w:tr w:rsidR="00AF0C71" w:rsidRPr="00011EFC" w14:paraId="5135FF7B" w14:textId="1C0CCBA4" w:rsidTr="00AF0C71">
        <w:tc>
          <w:tcPr>
            <w:tcW w:w="2147" w:type="dxa"/>
            <w:vMerge w:val="restart"/>
          </w:tcPr>
          <w:p w14:paraId="084084D4" w14:textId="77777777" w:rsidR="00AF0C71" w:rsidRPr="00011EFC" w:rsidRDefault="00AF0C71" w:rsidP="00011EFC">
            <w:r w:rsidRPr="00011EFC">
              <w:t>Midge</w:t>
            </w:r>
          </w:p>
          <w:p w14:paraId="2E345CC2" w14:textId="77777777" w:rsidR="00AF0C71" w:rsidRPr="00011EFC" w:rsidRDefault="00AF0C71" w:rsidP="00011EFC">
            <w:r w:rsidRPr="00011EFC">
              <w:t>(</w:t>
            </w:r>
            <w:r w:rsidRPr="00011EFC">
              <w:rPr>
                <w:i/>
              </w:rPr>
              <w:t>Chironomus riparius</w:t>
            </w:r>
            <w:r w:rsidRPr="00011EFC">
              <w:t>)</w:t>
            </w:r>
          </w:p>
        </w:tc>
        <w:tc>
          <w:tcPr>
            <w:tcW w:w="2330" w:type="dxa"/>
          </w:tcPr>
          <w:p w14:paraId="29D74A9B" w14:textId="77777777" w:rsidR="00AF0C71" w:rsidRPr="00011EFC" w:rsidRDefault="00AF0C71" w:rsidP="00011EFC">
            <w:r w:rsidRPr="00011EFC">
              <w:t>1 day EC50 (</w:t>
            </w:r>
            <w:r w:rsidRPr="00011EFC">
              <w:rPr>
                <w:rFonts w:cstheme="minorHAnsi"/>
              </w:rPr>
              <w:t>µ</w:t>
            </w:r>
            <w:r w:rsidRPr="00011EFC">
              <w:t xml:space="preserve">g/L) = </w:t>
            </w:r>
          </w:p>
        </w:tc>
        <w:tc>
          <w:tcPr>
            <w:tcW w:w="2562" w:type="dxa"/>
            <w:vMerge w:val="restart"/>
          </w:tcPr>
          <w:p w14:paraId="4355E4C4" w14:textId="77777777" w:rsidR="00AF0C71" w:rsidRPr="00011EFC" w:rsidRDefault="00AF0C71" w:rsidP="00011EFC">
            <w:r w:rsidRPr="00011EFC">
              <w:t xml:space="preserve">1 day EC50 = 5.4 </w:t>
            </w:r>
            <w:r w:rsidRPr="00011EFC">
              <w:rPr>
                <w:rFonts w:cstheme="minorHAnsi"/>
              </w:rPr>
              <w:t>µ</w:t>
            </w:r>
            <w:r w:rsidRPr="00011EFC">
              <w:t>g/L (E6830)</w:t>
            </w:r>
          </w:p>
        </w:tc>
        <w:tc>
          <w:tcPr>
            <w:tcW w:w="2311" w:type="dxa"/>
            <w:vMerge w:val="restart"/>
          </w:tcPr>
          <w:p w14:paraId="31ED163D" w14:textId="1E4CBD97" w:rsidR="00AF0C71" w:rsidRPr="00011EFC" w:rsidRDefault="00CC1364" w:rsidP="00011EFC">
            <w:r>
              <w:t>0.04-67</w:t>
            </w:r>
          </w:p>
        </w:tc>
      </w:tr>
      <w:tr w:rsidR="00AF0C71" w:rsidRPr="00011EFC" w14:paraId="2BDC1BF7" w14:textId="6F7AFCD2" w:rsidTr="00AF0C71">
        <w:tc>
          <w:tcPr>
            <w:tcW w:w="2147" w:type="dxa"/>
            <w:vMerge/>
          </w:tcPr>
          <w:p w14:paraId="1F96E814" w14:textId="77777777" w:rsidR="00AF0C71" w:rsidRPr="00011EFC" w:rsidRDefault="00AF0C71" w:rsidP="00011EFC"/>
        </w:tc>
        <w:tc>
          <w:tcPr>
            <w:tcW w:w="2330" w:type="dxa"/>
          </w:tcPr>
          <w:p w14:paraId="7B520B4C" w14:textId="77777777" w:rsidR="00AF0C71" w:rsidRPr="00011EFC" w:rsidRDefault="00AF0C71" w:rsidP="00011EFC">
            <w:r w:rsidRPr="00011EFC">
              <w:t>1.9 (E6830)</w:t>
            </w:r>
          </w:p>
        </w:tc>
        <w:tc>
          <w:tcPr>
            <w:tcW w:w="2562" w:type="dxa"/>
            <w:vMerge/>
          </w:tcPr>
          <w:p w14:paraId="1588601E" w14:textId="77777777" w:rsidR="00AF0C71" w:rsidRPr="00011EFC" w:rsidRDefault="00AF0C71" w:rsidP="00011EFC"/>
        </w:tc>
        <w:tc>
          <w:tcPr>
            <w:tcW w:w="2311" w:type="dxa"/>
            <w:vMerge/>
          </w:tcPr>
          <w:p w14:paraId="5C41FC3F" w14:textId="77777777" w:rsidR="00AF0C71" w:rsidRPr="00011EFC" w:rsidRDefault="00AF0C71" w:rsidP="00011EFC"/>
        </w:tc>
      </w:tr>
      <w:tr w:rsidR="00AF0C71" w:rsidRPr="00011EFC" w14:paraId="46CF9E4E" w14:textId="6A76F5BE" w:rsidTr="00AF0C71">
        <w:tc>
          <w:tcPr>
            <w:tcW w:w="2147" w:type="dxa"/>
            <w:vMerge/>
          </w:tcPr>
          <w:p w14:paraId="3629ADFE" w14:textId="77777777" w:rsidR="00AF0C71" w:rsidRPr="00011EFC" w:rsidRDefault="00AF0C71" w:rsidP="00011EFC"/>
        </w:tc>
        <w:tc>
          <w:tcPr>
            <w:tcW w:w="2330" w:type="dxa"/>
          </w:tcPr>
          <w:p w14:paraId="7804CC40" w14:textId="77777777" w:rsidR="00AF0C71" w:rsidRPr="00011EFC" w:rsidRDefault="00AF0C71" w:rsidP="00011EFC">
            <w:r w:rsidRPr="00011EFC">
              <w:t>0.42 &amp;108 (E14897)</w:t>
            </w:r>
          </w:p>
        </w:tc>
        <w:tc>
          <w:tcPr>
            <w:tcW w:w="2562" w:type="dxa"/>
            <w:vMerge/>
          </w:tcPr>
          <w:p w14:paraId="6B1CB16D" w14:textId="77777777" w:rsidR="00AF0C71" w:rsidRPr="00011EFC" w:rsidRDefault="00AF0C71" w:rsidP="00011EFC"/>
        </w:tc>
        <w:tc>
          <w:tcPr>
            <w:tcW w:w="2311" w:type="dxa"/>
            <w:vMerge/>
          </w:tcPr>
          <w:p w14:paraId="70BE79B3" w14:textId="77777777" w:rsidR="00AF0C71" w:rsidRPr="00011EFC" w:rsidRDefault="00AF0C71" w:rsidP="00011EFC"/>
        </w:tc>
      </w:tr>
      <w:tr w:rsidR="00AF0C71" w:rsidRPr="00011EFC" w14:paraId="6812891F" w14:textId="564FB5A5" w:rsidTr="00AF0C71">
        <w:tc>
          <w:tcPr>
            <w:tcW w:w="2147" w:type="dxa"/>
            <w:vMerge/>
          </w:tcPr>
          <w:p w14:paraId="25F8EBFB" w14:textId="77777777" w:rsidR="00AF0C71" w:rsidRPr="00011EFC" w:rsidRDefault="00AF0C71" w:rsidP="00011EFC"/>
        </w:tc>
        <w:tc>
          <w:tcPr>
            <w:tcW w:w="2330" w:type="dxa"/>
          </w:tcPr>
          <w:p w14:paraId="5981C743" w14:textId="77777777" w:rsidR="00AF0C71" w:rsidRPr="00011EFC" w:rsidRDefault="00AF0C71" w:rsidP="00011EFC">
            <w:r w:rsidRPr="00011EFC">
              <w:t>0.21 -362 (E89488, 89, 90)</w:t>
            </w:r>
          </w:p>
        </w:tc>
        <w:tc>
          <w:tcPr>
            <w:tcW w:w="2562" w:type="dxa"/>
            <w:vMerge/>
          </w:tcPr>
          <w:p w14:paraId="62C62F54" w14:textId="77777777" w:rsidR="00AF0C71" w:rsidRPr="00011EFC" w:rsidRDefault="00AF0C71" w:rsidP="00011EFC"/>
        </w:tc>
        <w:tc>
          <w:tcPr>
            <w:tcW w:w="2311" w:type="dxa"/>
            <w:vMerge/>
          </w:tcPr>
          <w:p w14:paraId="4AF87141" w14:textId="77777777" w:rsidR="00AF0C71" w:rsidRPr="00011EFC" w:rsidRDefault="00AF0C71" w:rsidP="00011EFC"/>
        </w:tc>
      </w:tr>
      <w:tr w:rsidR="00AF0C71" w:rsidRPr="00011EFC" w14:paraId="298BF068" w14:textId="381D9D2F" w:rsidTr="00AF0C71">
        <w:tc>
          <w:tcPr>
            <w:tcW w:w="2147" w:type="dxa"/>
          </w:tcPr>
          <w:p w14:paraId="2A2361C6" w14:textId="77777777" w:rsidR="00AF0C71" w:rsidRPr="00011EFC" w:rsidRDefault="00AF0C71" w:rsidP="00011EFC">
            <w:r w:rsidRPr="00011EFC">
              <w:t>Mosquito (Culex tarsalis)</w:t>
            </w:r>
          </w:p>
        </w:tc>
        <w:tc>
          <w:tcPr>
            <w:tcW w:w="2330" w:type="dxa"/>
          </w:tcPr>
          <w:p w14:paraId="2A6AB7E8" w14:textId="77777777" w:rsidR="00AF0C71" w:rsidRPr="00011EFC" w:rsidRDefault="00AF0C71" w:rsidP="00011EFC">
            <w:r w:rsidRPr="00011EFC">
              <w:t>1 day LC50 = 10 &amp; 1502 µg/L (E94524)</w:t>
            </w:r>
          </w:p>
        </w:tc>
        <w:tc>
          <w:tcPr>
            <w:tcW w:w="2562" w:type="dxa"/>
          </w:tcPr>
          <w:p w14:paraId="5B1E03FD" w14:textId="77777777" w:rsidR="00AF0C71" w:rsidRPr="00011EFC" w:rsidRDefault="00AF0C71" w:rsidP="00011EFC">
            <w:r w:rsidRPr="00011EFC">
              <w:t>1 day LC50 = 42 &amp; 247 µg/L (E94524)</w:t>
            </w:r>
          </w:p>
        </w:tc>
        <w:tc>
          <w:tcPr>
            <w:tcW w:w="2311" w:type="dxa"/>
          </w:tcPr>
          <w:p w14:paraId="6323F45B" w14:textId="01121A1C" w:rsidR="00AF0C71" w:rsidRPr="00011EFC" w:rsidRDefault="00CC1364" w:rsidP="00011EFC">
            <w:r>
              <w:t>0.04-36</w:t>
            </w:r>
          </w:p>
        </w:tc>
      </w:tr>
    </w:tbl>
    <w:p w14:paraId="239DF10F" w14:textId="77777777" w:rsidR="00210F0F" w:rsidRPr="00011EFC" w:rsidRDefault="00210F0F" w:rsidP="00865A49">
      <w:pPr>
        <w:spacing w:after="0" w:line="240" w:lineRule="auto"/>
        <w:rPr>
          <w:rFonts w:cs="Times New Roman"/>
          <w:highlight w:val="yellow"/>
        </w:rPr>
      </w:pPr>
    </w:p>
    <w:p w14:paraId="7D3594FA" w14:textId="77777777" w:rsidR="00210F0F" w:rsidRPr="00132F83" w:rsidRDefault="00210F0F" w:rsidP="00865A49">
      <w:pPr>
        <w:spacing w:after="0" w:line="240" w:lineRule="auto"/>
        <w:rPr>
          <w:rFonts w:cs="Times New Roman"/>
          <w:i/>
          <w:highlight w:val="yellow"/>
        </w:rPr>
      </w:pPr>
    </w:p>
    <w:p w14:paraId="288E4F44" w14:textId="5B164341" w:rsidR="00011EFC" w:rsidRDefault="00011EFC">
      <w:pPr>
        <w:rPr>
          <w:rFonts w:cs="Times New Roman"/>
          <w:b/>
        </w:rPr>
      </w:pPr>
      <w:r w:rsidRPr="00132F83">
        <w:rPr>
          <w:rFonts w:cs="Times New Roman"/>
          <w:b/>
        </w:rPr>
        <w:t xml:space="preserve">Table </w:t>
      </w:r>
      <w:r w:rsidR="007E3A43">
        <w:rPr>
          <w:rFonts w:cs="Times New Roman"/>
          <w:b/>
        </w:rPr>
        <w:t>1-9.</w:t>
      </w:r>
      <w:r>
        <w:rPr>
          <w:rFonts w:cs="Times New Roman"/>
          <w:b/>
        </w:rPr>
        <w:t>2</w:t>
      </w:r>
      <w:r w:rsidRPr="00132F83">
        <w:rPr>
          <w:rFonts w:cs="Times New Roman"/>
          <w:b/>
        </w:rPr>
        <w:t xml:space="preserve">. Comparison of </w:t>
      </w:r>
      <w:r>
        <w:rPr>
          <w:rFonts w:cs="Times New Roman"/>
          <w:b/>
        </w:rPr>
        <w:t xml:space="preserve">acute mortality </w:t>
      </w:r>
      <w:r w:rsidRPr="00132F83">
        <w:rPr>
          <w:rFonts w:cs="Times New Roman"/>
          <w:b/>
        </w:rPr>
        <w:t>toxicity data available</w:t>
      </w:r>
      <w:r>
        <w:rPr>
          <w:rFonts w:cs="Times New Roman"/>
          <w:b/>
        </w:rPr>
        <w:t xml:space="preserve"> for terrestrial animals </w:t>
      </w:r>
      <w:r w:rsidRPr="00132F83">
        <w:rPr>
          <w:rFonts w:cs="Times New Roman"/>
          <w:b/>
        </w:rPr>
        <w:t xml:space="preserve">for </w:t>
      </w:r>
      <w:r>
        <w:rPr>
          <w:rFonts w:cs="Times New Roman"/>
          <w:b/>
        </w:rPr>
        <w:t>malathion</w:t>
      </w:r>
      <w:r w:rsidRPr="00132F83">
        <w:rPr>
          <w:rFonts w:cs="Times New Roman"/>
          <w:b/>
        </w:rPr>
        <w:t xml:space="preserve"> and </w:t>
      </w:r>
      <w:r w:rsidR="002066F3">
        <w:rPr>
          <w:rFonts w:cs="Times New Roman"/>
          <w:b/>
        </w:rPr>
        <w:t>malaoxon</w:t>
      </w:r>
      <w:r w:rsidRPr="00132F83">
        <w:rPr>
          <w:rFonts w:cs="Times New Roman"/>
          <w:b/>
        </w:rPr>
        <w:t>.</w:t>
      </w:r>
    </w:p>
    <w:tbl>
      <w:tblPr>
        <w:tblStyle w:val="TableGrid2"/>
        <w:tblW w:w="0" w:type="auto"/>
        <w:tblLook w:val="04A0" w:firstRow="1" w:lastRow="0" w:firstColumn="1" w:lastColumn="0" w:noHBand="0" w:noVBand="1"/>
      </w:tblPr>
      <w:tblGrid>
        <w:gridCol w:w="2157"/>
        <w:gridCol w:w="2453"/>
        <w:gridCol w:w="2485"/>
        <w:gridCol w:w="2255"/>
      </w:tblGrid>
      <w:tr w:rsidR="00CC1364" w:rsidRPr="00011EFC" w14:paraId="7038E8E4" w14:textId="0E70C2FD" w:rsidTr="00CC1364">
        <w:tc>
          <w:tcPr>
            <w:tcW w:w="2157" w:type="dxa"/>
            <w:shd w:val="clear" w:color="auto" w:fill="E7E6E6" w:themeFill="background2"/>
          </w:tcPr>
          <w:p w14:paraId="7B7DE126" w14:textId="77777777" w:rsidR="00CC1364" w:rsidRPr="00011EFC" w:rsidRDefault="00CC1364" w:rsidP="00011EFC">
            <w:pPr>
              <w:rPr>
                <w:b/>
              </w:rPr>
            </w:pPr>
            <w:r w:rsidRPr="00011EFC">
              <w:rPr>
                <w:b/>
              </w:rPr>
              <w:t>Species</w:t>
            </w:r>
          </w:p>
        </w:tc>
        <w:tc>
          <w:tcPr>
            <w:tcW w:w="2453" w:type="dxa"/>
            <w:shd w:val="clear" w:color="auto" w:fill="E7E6E6" w:themeFill="background2"/>
          </w:tcPr>
          <w:p w14:paraId="27336DA9" w14:textId="77777777" w:rsidR="00CC1364" w:rsidRPr="00011EFC" w:rsidRDefault="00CC1364" w:rsidP="00011EFC">
            <w:pPr>
              <w:rPr>
                <w:b/>
              </w:rPr>
            </w:pPr>
            <w:r w:rsidRPr="00011EFC">
              <w:rPr>
                <w:b/>
              </w:rPr>
              <w:t>Malathion Toxicity Value</w:t>
            </w:r>
          </w:p>
          <w:p w14:paraId="7B02B3CC" w14:textId="77777777" w:rsidR="00CC1364" w:rsidRPr="00011EFC" w:rsidRDefault="00CC1364" w:rsidP="00011EFC">
            <w:pPr>
              <w:rPr>
                <w:b/>
              </w:rPr>
            </w:pPr>
            <w:r w:rsidRPr="00011EFC">
              <w:rPr>
                <w:b/>
              </w:rPr>
              <w:t>(Reference)</w:t>
            </w:r>
          </w:p>
        </w:tc>
        <w:tc>
          <w:tcPr>
            <w:tcW w:w="2485" w:type="dxa"/>
            <w:shd w:val="clear" w:color="auto" w:fill="E7E6E6" w:themeFill="background2"/>
          </w:tcPr>
          <w:p w14:paraId="31B89D49" w14:textId="60DA4181" w:rsidR="00CC1364" w:rsidRPr="00011EFC" w:rsidRDefault="00CC1364" w:rsidP="00011EFC">
            <w:pPr>
              <w:rPr>
                <w:b/>
              </w:rPr>
            </w:pPr>
            <w:r>
              <w:rPr>
                <w:b/>
              </w:rPr>
              <w:t>Malaoxon</w:t>
            </w:r>
            <w:r w:rsidRPr="00011EFC">
              <w:rPr>
                <w:b/>
              </w:rPr>
              <w:t xml:space="preserve"> Toxicity Value</w:t>
            </w:r>
          </w:p>
          <w:p w14:paraId="1276BCE2" w14:textId="77777777" w:rsidR="00CC1364" w:rsidRPr="00011EFC" w:rsidRDefault="00CC1364" w:rsidP="00011EFC">
            <w:pPr>
              <w:rPr>
                <w:b/>
              </w:rPr>
            </w:pPr>
            <w:r w:rsidRPr="00011EFC">
              <w:rPr>
                <w:b/>
              </w:rPr>
              <w:t>(Reference)</w:t>
            </w:r>
          </w:p>
        </w:tc>
        <w:tc>
          <w:tcPr>
            <w:tcW w:w="2255" w:type="dxa"/>
            <w:shd w:val="clear" w:color="auto" w:fill="E7E6E6" w:themeFill="background2"/>
          </w:tcPr>
          <w:p w14:paraId="16F52806" w14:textId="74338960" w:rsidR="00CC1364" w:rsidRDefault="00CC1364" w:rsidP="00011EFC">
            <w:pPr>
              <w:rPr>
                <w:b/>
              </w:rPr>
            </w:pPr>
            <w:r>
              <w:rPr>
                <w:b/>
              </w:rPr>
              <w:t>Ratio (malathion:malaoxon)</w:t>
            </w:r>
          </w:p>
        </w:tc>
      </w:tr>
      <w:tr w:rsidR="00CC1364" w:rsidRPr="00011EFC" w14:paraId="2F053FA5" w14:textId="560D25ED" w:rsidTr="00CC1364">
        <w:tc>
          <w:tcPr>
            <w:tcW w:w="7095" w:type="dxa"/>
            <w:gridSpan w:val="3"/>
            <w:shd w:val="clear" w:color="auto" w:fill="E7E6E6" w:themeFill="background2"/>
          </w:tcPr>
          <w:p w14:paraId="524B54E9" w14:textId="77777777" w:rsidR="00CC1364" w:rsidRPr="00011EFC" w:rsidRDefault="00CC1364" w:rsidP="00011EFC">
            <w:pPr>
              <w:rPr>
                <w:b/>
              </w:rPr>
            </w:pPr>
            <w:r w:rsidRPr="00011EFC">
              <w:rPr>
                <w:b/>
              </w:rPr>
              <w:t>Terrestrial</w:t>
            </w:r>
          </w:p>
        </w:tc>
        <w:tc>
          <w:tcPr>
            <w:tcW w:w="2255" w:type="dxa"/>
            <w:shd w:val="clear" w:color="auto" w:fill="E7E6E6" w:themeFill="background2"/>
          </w:tcPr>
          <w:p w14:paraId="5174D455" w14:textId="77777777" w:rsidR="00CC1364" w:rsidRPr="00011EFC" w:rsidRDefault="00CC1364" w:rsidP="00011EFC">
            <w:pPr>
              <w:rPr>
                <w:b/>
              </w:rPr>
            </w:pPr>
          </w:p>
        </w:tc>
      </w:tr>
      <w:tr w:rsidR="00CC1364" w:rsidRPr="00011EFC" w14:paraId="15E6B2E3" w14:textId="0A02958D" w:rsidTr="00CC1364">
        <w:trPr>
          <w:trHeight w:val="360"/>
        </w:trPr>
        <w:tc>
          <w:tcPr>
            <w:tcW w:w="2157" w:type="dxa"/>
            <w:vMerge w:val="restart"/>
          </w:tcPr>
          <w:p w14:paraId="77675DFA" w14:textId="77777777" w:rsidR="00CC1364" w:rsidRPr="00011EFC" w:rsidRDefault="00CC1364" w:rsidP="00011EFC">
            <w:r w:rsidRPr="00011EFC">
              <w:t>Northern bobwhite (</w:t>
            </w:r>
            <w:r w:rsidRPr="00011EFC">
              <w:rPr>
                <w:i/>
              </w:rPr>
              <w:t>Colinus virginianus</w:t>
            </w:r>
            <w:r w:rsidRPr="00011EFC">
              <w:t>)</w:t>
            </w:r>
          </w:p>
        </w:tc>
        <w:tc>
          <w:tcPr>
            <w:tcW w:w="2453" w:type="dxa"/>
          </w:tcPr>
          <w:p w14:paraId="538D3322" w14:textId="77777777" w:rsidR="00CC1364" w:rsidRPr="00011EFC" w:rsidRDefault="00CC1364" w:rsidP="00011EFC">
            <w:r w:rsidRPr="00011EFC">
              <w:t>14-d LD50 =  361 mg/kg-bw</w:t>
            </w:r>
          </w:p>
          <w:p w14:paraId="6AEF8E2B" w14:textId="77777777" w:rsidR="00CC1364" w:rsidRPr="00011EFC" w:rsidRDefault="00CC1364" w:rsidP="00011EFC">
            <w:r w:rsidRPr="00011EFC">
              <w:t>(48153114)</w:t>
            </w:r>
          </w:p>
        </w:tc>
        <w:tc>
          <w:tcPr>
            <w:tcW w:w="2485" w:type="dxa"/>
          </w:tcPr>
          <w:p w14:paraId="032DFA44" w14:textId="77777777" w:rsidR="00CC1364" w:rsidRPr="00011EFC" w:rsidRDefault="00CC1364" w:rsidP="00011EFC">
            <w:r w:rsidRPr="00011EFC">
              <w:t>14-d LD50 = 42.6 mg/kg-bw (48153104)</w:t>
            </w:r>
          </w:p>
        </w:tc>
        <w:tc>
          <w:tcPr>
            <w:tcW w:w="2255" w:type="dxa"/>
          </w:tcPr>
          <w:p w14:paraId="202FFF71" w14:textId="782A217B" w:rsidR="00CC1364" w:rsidRPr="00011EFC" w:rsidRDefault="00CC1364" w:rsidP="00011EFC">
            <w:r>
              <w:t>8.5</w:t>
            </w:r>
          </w:p>
        </w:tc>
      </w:tr>
      <w:tr w:rsidR="00CC1364" w:rsidRPr="00011EFC" w14:paraId="5C977239" w14:textId="6C6754E2" w:rsidTr="00CC1364">
        <w:trPr>
          <w:trHeight w:val="413"/>
        </w:trPr>
        <w:tc>
          <w:tcPr>
            <w:tcW w:w="2157" w:type="dxa"/>
            <w:vMerge/>
          </w:tcPr>
          <w:p w14:paraId="4E695A13" w14:textId="77777777" w:rsidR="00CC1364" w:rsidRPr="00011EFC" w:rsidRDefault="00CC1364" w:rsidP="00011EFC"/>
        </w:tc>
        <w:tc>
          <w:tcPr>
            <w:tcW w:w="2453" w:type="dxa"/>
          </w:tcPr>
          <w:p w14:paraId="3AB170CE" w14:textId="77777777" w:rsidR="00CC1364" w:rsidRPr="00011EFC" w:rsidRDefault="00CC1364" w:rsidP="00011EFC">
            <w:r w:rsidRPr="00011EFC">
              <w:t>8-d LC50 = 3497 mg/kg-diet</w:t>
            </w:r>
          </w:p>
          <w:p w14:paraId="444169E0" w14:textId="77777777" w:rsidR="00CC1364" w:rsidRPr="00011EFC" w:rsidRDefault="00CC1364" w:rsidP="00011EFC">
            <w:r w:rsidRPr="00011EFC">
              <w:t>(00022923)</w:t>
            </w:r>
          </w:p>
        </w:tc>
        <w:tc>
          <w:tcPr>
            <w:tcW w:w="2485" w:type="dxa"/>
          </w:tcPr>
          <w:p w14:paraId="1C878474" w14:textId="77777777" w:rsidR="00CC1364" w:rsidRPr="00011EFC" w:rsidRDefault="00CC1364" w:rsidP="00011EFC">
            <w:r w:rsidRPr="00011EFC">
              <w:t>14-d LC50 = 870 mg/kg-diet</w:t>
            </w:r>
          </w:p>
          <w:p w14:paraId="15F113F6" w14:textId="77777777" w:rsidR="00CC1364" w:rsidRPr="00011EFC" w:rsidRDefault="00CC1364" w:rsidP="00011EFC">
            <w:r w:rsidRPr="00011EFC">
              <w:t>(48153105)</w:t>
            </w:r>
          </w:p>
        </w:tc>
        <w:tc>
          <w:tcPr>
            <w:tcW w:w="2255" w:type="dxa"/>
          </w:tcPr>
          <w:p w14:paraId="53306334" w14:textId="03536466" w:rsidR="00CC1364" w:rsidRPr="00011EFC" w:rsidRDefault="00CC1364" w:rsidP="00011EFC">
            <w:r>
              <w:t>4</w:t>
            </w:r>
          </w:p>
        </w:tc>
      </w:tr>
      <w:tr w:rsidR="00CC1364" w:rsidRPr="00011EFC" w14:paraId="1C20F0C2" w14:textId="025A9A89" w:rsidTr="00CC1364">
        <w:trPr>
          <w:trHeight w:val="360"/>
        </w:trPr>
        <w:tc>
          <w:tcPr>
            <w:tcW w:w="2157" w:type="dxa"/>
            <w:vMerge w:val="restart"/>
          </w:tcPr>
          <w:p w14:paraId="3905D4D7" w14:textId="77777777" w:rsidR="00CC1364" w:rsidRPr="00011EFC" w:rsidRDefault="00CC1364" w:rsidP="00011EFC">
            <w:r w:rsidRPr="00011EFC">
              <w:t>Ring-necked pheasant (</w:t>
            </w:r>
            <w:r w:rsidRPr="00011EFC">
              <w:rPr>
                <w:i/>
              </w:rPr>
              <w:t>Phasianus colchicus</w:t>
            </w:r>
            <w:r w:rsidRPr="00011EFC">
              <w:t>)</w:t>
            </w:r>
          </w:p>
        </w:tc>
        <w:tc>
          <w:tcPr>
            <w:tcW w:w="2453" w:type="dxa"/>
          </w:tcPr>
          <w:p w14:paraId="2FC317AB" w14:textId="77777777" w:rsidR="00CC1364" w:rsidRPr="00011EFC" w:rsidRDefault="00CC1364" w:rsidP="00011EFC">
            <w:r w:rsidRPr="00011EFC">
              <w:t>14-d LD50 = 167 mg/kg-bw</w:t>
            </w:r>
          </w:p>
          <w:p w14:paraId="6A6FD39C" w14:textId="77777777" w:rsidR="00CC1364" w:rsidRPr="00011EFC" w:rsidRDefault="00CC1364" w:rsidP="00011EFC">
            <w:r w:rsidRPr="00011EFC">
              <w:t>(00160000)</w:t>
            </w:r>
          </w:p>
        </w:tc>
        <w:tc>
          <w:tcPr>
            <w:tcW w:w="2485" w:type="dxa"/>
            <w:vMerge w:val="restart"/>
          </w:tcPr>
          <w:p w14:paraId="5F15F55E" w14:textId="77777777" w:rsidR="00CC1364" w:rsidRPr="00011EFC" w:rsidRDefault="00CC1364" w:rsidP="00011EFC">
            <w:r w:rsidRPr="00011EFC">
              <w:t>14-d LD50 = 22.1 mg/kg-bw</w:t>
            </w:r>
          </w:p>
          <w:p w14:paraId="6872EDFD" w14:textId="77777777" w:rsidR="00CC1364" w:rsidRPr="00011EFC" w:rsidRDefault="00CC1364" w:rsidP="00011EFC">
            <w:r w:rsidRPr="00011EFC">
              <w:t>(49024601)</w:t>
            </w:r>
          </w:p>
        </w:tc>
        <w:tc>
          <w:tcPr>
            <w:tcW w:w="2255" w:type="dxa"/>
            <w:vMerge w:val="restart"/>
          </w:tcPr>
          <w:p w14:paraId="68E728AC" w14:textId="14A46B33" w:rsidR="00CC1364" w:rsidRPr="00011EFC" w:rsidRDefault="00CC1364" w:rsidP="00011EFC">
            <w:r>
              <w:t>6.2 &amp; 7.6</w:t>
            </w:r>
          </w:p>
        </w:tc>
      </w:tr>
      <w:tr w:rsidR="00CC1364" w:rsidRPr="00011EFC" w14:paraId="570D1AEC" w14:textId="07104374" w:rsidTr="00CC1364">
        <w:trPr>
          <w:trHeight w:val="360"/>
        </w:trPr>
        <w:tc>
          <w:tcPr>
            <w:tcW w:w="2157" w:type="dxa"/>
            <w:vMerge/>
          </w:tcPr>
          <w:p w14:paraId="36C100E5" w14:textId="77777777" w:rsidR="00CC1364" w:rsidRPr="00011EFC" w:rsidRDefault="00CC1364" w:rsidP="00011EFC"/>
        </w:tc>
        <w:tc>
          <w:tcPr>
            <w:tcW w:w="2453" w:type="dxa"/>
          </w:tcPr>
          <w:p w14:paraId="254C106F" w14:textId="77777777" w:rsidR="00CC1364" w:rsidRPr="00011EFC" w:rsidRDefault="00CC1364" w:rsidP="00011EFC">
            <w:r w:rsidRPr="00011EFC">
              <w:t>14-d LD50 = 136 mg/kg-bw</w:t>
            </w:r>
          </w:p>
          <w:p w14:paraId="721F317C" w14:textId="77777777" w:rsidR="00CC1364" w:rsidRPr="00011EFC" w:rsidRDefault="00CC1364" w:rsidP="00011EFC">
            <w:r w:rsidRPr="00011EFC">
              <w:t>(48963305)</w:t>
            </w:r>
          </w:p>
        </w:tc>
        <w:tc>
          <w:tcPr>
            <w:tcW w:w="2485" w:type="dxa"/>
            <w:vMerge/>
          </w:tcPr>
          <w:p w14:paraId="31BA66F9" w14:textId="77777777" w:rsidR="00CC1364" w:rsidRPr="00011EFC" w:rsidRDefault="00CC1364" w:rsidP="00011EFC"/>
        </w:tc>
        <w:tc>
          <w:tcPr>
            <w:tcW w:w="2255" w:type="dxa"/>
            <w:vMerge/>
          </w:tcPr>
          <w:p w14:paraId="15F87204" w14:textId="02B148E1" w:rsidR="00CC1364" w:rsidRPr="00011EFC" w:rsidRDefault="00CC1364" w:rsidP="00011EFC"/>
        </w:tc>
      </w:tr>
      <w:tr w:rsidR="00CC1364" w:rsidRPr="00011EFC" w14:paraId="41910B1F" w14:textId="773AB1C1" w:rsidTr="00CC1364">
        <w:trPr>
          <w:trHeight w:val="332"/>
        </w:trPr>
        <w:tc>
          <w:tcPr>
            <w:tcW w:w="2157" w:type="dxa"/>
            <w:vMerge/>
          </w:tcPr>
          <w:p w14:paraId="2CCEBFFA" w14:textId="77777777" w:rsidR="00CC1364" w:rsidRPr="00011EFC" w:rsidRDefault="00CC1364" w:rsidP="00011EFC"/>
        </w:tc>
        <w:tc>
          <w:tcPr>
            <w:tcW w:w="2453" w:type="dxa"/>
          </w:tcPr>
          <w:p w14:paraId="12A7B769" w14:textId="77777777" w:rsidR="00CC1364" w:rsidRPr="00011EFC" w:rsidRDefault="00CC1364" w:rsidP="00011EFC">
            <w:r w:rsidRPr="00011EFC">
              <w:t>8-d LC50 =  2639 mg/kg-diet</w:t>
            </w:r>
          </w:p>
          <w:p w14:paraId="4733E59A" w14:textId="77777777" w:rsidR="00CC1364" w:rsidRPr="00011EFC" w:rsidRDefault="00CC1364" w:rsidP="00011EFC">
            <w:r w:rsidRPr="00011EFC">
              <w:t>(00022923)</w:t>
            </w:r>
          </w:p>
        </w:tc>
        <w:tc>
          <w:tcPr>
            <w:tcW w:w="2485" w:type="dxa"/>
            <w:vMerge w:val="restart"/>
          </w:tcPr>
          <w:p w14:paraId="2CFC101A" w14:textId="77777777" w:rsidR="00CC1364" w:rsidRPr="00011EFC" w:rsidRDefault="00CC1364" w:rsidP="00011EFC">
            <w:r w:rsidRPr="00011EFC">
              <w:t>8-d LC50 = 1759 mg/kg-diet</w:t>
            </w:r>
          </w:p>
          <w:p w14:paraId="5D02700A" w14:textId="77777777" w:rsidR="00CC1364" w:rsidRPr="00011EFC" w:rsidRDefault="00CC1364" w:rsidP="00011EFC">
            <w:r w:rsidRPr="00011EFC">
              <w:t>(48963302)</w:t>
            </w:r>
          </w:p>
        </w:tc>
        <w:tc>
          <w:tcPr>
            <w:tcW w:w="2255" w:type="dxa"/>
            <w:vMerge w:val="restart"/>
          </w:tcPr>
          <w:p w14:paraId="21C2430F" w14:textId="1E11B99B" w:rsidR="00CC1364" w:rsidRPr="00011EFC" w:rsidRDefault="00CC1364" w:rsidP="00011EFC">
            <w:r>
              <w:t>1.5 &amp; 1.4</w:t>
            </w:r>
          </w:p>
        </w:tc>
      </w:tr>
      <w:tr w:rsidR="00CC1364" w:rsidRPr="00011EFC" w14:paraId="63E4BFDB" w14:textId="3493595C" w:rsidTr="00CC1364">
        <w:trPr>
          <w:trHeight w:val="332"/>
        </w:trPr>
        <w:tc>
          <w:tcPr>
            <w:tcW w:w="2157" w:type="dxa"/>
            <w:vMerge/>
          </w:tcPr>
          <w:p w14:paraId="746475C8" w14:textId="77777777" w:rsidR="00CC1364" w:rsidRPr="00011EFC" w:rsidRDefault="00CC1364" w:rsidP="00011EFC"/>
        </w:tc>
        <w:tc>
          <w:tcPr>
            <w:tcW w:w="2453" w:type="dxa"/>
          </w:tcPr>
          <w:p w14:paraId="4D076B79" w14:textId="77777777" w:rsidR="00CC1364" w:rsidRPr="00011EFC" w:rsidRDefault="00CC1364" w:rsidP="00011EFC">
            <w:r w:rsidRPr="00011EFC">
              <w:t>8-d LC50 =  2505 mg/kg-diet</w:t>
            </w:r>
          </w:p>
          <w:p w14:paraId="30B2D780" w14:textId="77777777" w:rsidR="00CC1364" w:rsidRPr="00011EFC" w:rsidRDefault="00CC1364" w:rsidP="00011EFC">
            <w:r w:rsidRPr="00011EFC">
              <w:t>(48963301)</w:t>
            </w:r>
          </w:p>
        </w:tc>
        <w:tc>
          <w:tcPr>
            <w:tcW w:w="2485" w:type="dxa"/>
            <w:vMerge/>
          </w:tcPr>
          <w:p w14:paraId="58021B78" w14:textId="77777777" w:rsidR="00CC1364" w:rsidRPr="00011EFC" w:rsidRDefault="00CC1364" w:rsidP="00011EFC"/>
        </w:tc>
        <w:tc>
          <w:tcPr>
            <w:tcW w:w="2255" w:type="dxa"/>
            <w:vMerge/>
          </w:tcPr>
          <w:p w14:paraId="13D80022" w14:textId="290A4255" w:rsidR="00CC1364" w:rsidRPr="00011EFC" w:rsidRDefault="00CC1364" w:rsidP="00011EFC"/>
        </w:tc>
      </w:tr>
      <w:tr w:rsidR="00CC1364" w:rsidRPr="00011EFC" w14:paraId="6959255D" w14:textId="6089C66E" w:rsidTr="00CC1364">
        <w:trPr>
          <w:trHeight w:val="360"/>
        </w:trPr>
        <w:tc>
          <w:tcPr>
            <w:tcW w:w="2157" w:type="dxa"/>
          </w:tcPr>
          <w:p w14:paraId="59A118A9" w14:textId="77777777" w:rsidR="00CC1364" w:rsidRPr="00011EFC" w:rsidRDefault="00CC1364" w:rsidP="00011EFC">
            <w:r w:rsidRPr="00011EFC">
              <w:t xml:space="preserve">Canary </w:t>
            </w:r>
          </w:p>
          <w:p w14:paraId="143BFF03" w14:textId="77777777" w:rsidR="00CC1364" w:rsidRPr="00011EFC" w:rsidRDefault="00CC1364" w:rsidP="00011EFC">
            <w:r w:rsidRPr="00011EFC">
              <w:t>(</w:t>
            </w:r>
            <w:r w:rsidRPr="00011EFC">
              <w:rPr>
                <w:i/>
              </w:rPr>
              <w:t>Serinus canaria</w:t>
            </w:r>
            <w:r w:rsidRPr="00011EFC">
              <w:t>)</w:t>
            </w:r>
          </w:p>
        </w:tc>
        <w:tc>
          <w:tcPr>
            <w:tcW w:w="2453" w:type="dxa"/>
          </w:tcPr>
          <w:p w14:paraId="5CB2D3FB" w14:textId="77777777" w:rsidR="00CC1364" w:rsidRPr="00011EFC" w:rsidRDefault="00CC1364" w:rsidP="00011EFC">
            <w:r w:rsidRPr="00011EFC">
              <w:t>14-d LD50 &gt;2400 mg/kg-bw</w:t>
            </w:r>
          </w:p>
          <w:p w14:paraId="537B1F5F" w14:textId="77777777" w:rsidR="00CC1364" w:rsidRPr="00011EFC" w:rsidRDefault="00CC1364" w:rsidP="00011EFC">
            <w:r w:rsidRPr="00011EFC">
              <w:t>(48571805)</w:t>
            </w:r>
          </w:p>
        </w:tc>
        <w:tc>
          <w:tcPr>
            <w:tcW w:w="2485" w:type="dxa"/>
          </w:tcPr>
          <w:p w14:paraId="356F5B86" w14:textId="77777777" w:rsidR="00CC1364" w:rsidRPr="00011EFC" w:rsidRDefault="00CC1364" w:rsidP="00011EFC">
            <w:r w:rsidRPr="00011EFC">
              <w:t>14-d LD50 = 52.6 mg/kg-bw</w:t>
            </w:r>
          </w:p>
          <w:p w14:paraId="0C16FF9F" w14:textId="77777777" w:rsidR="00CC1364" w:rsidRPr="00011EFC" w:rsidRDefault="00CC1364" w:rsidP="00011EFC">
            <w:r w:rsidRPr="00011EFC">
              <w:t>(48571806)</w:t>
            </w:r>
          </w:p>
        </w:tc>
        <w:tc>
          <w:tcPr>
            <w:tcW w:w="2255" w:type="dxa"/>
          </w:tcPr>
          <w:p w14:paraId="208E5F00" w14:textId="293B3B51" w:rsidR="00CC1364" w:rsidRPr="00011EFC" w:rsidRDefault="00CC1364" w:rsidP="00011EFC">
            <w:r>
              <w:t>&gt;46</w:t>
            </w:r>
          </w:p>
        </w:tc>
      </w:tr>
      <w:tr w:rsidR="00CC1364" w:rsidRPr="00011EFC" w14:paraId="3545EE3D" w14:textId="10DF5234" w:rsidTr="00CC1364">
        <w:trPr>
          <w:trHeight w:val="350"/>
        </w:trPr>
        <w:tc>
          <w:tcPr>
            <w:tcW w:w="2157" w:type="dxa"/>
            <w:vMerge w:val="restart"/>
          </w:tcPr>
          <w:p w14:paraId="1BFB603E" w14:textId="77777777" w:rsidR="00CC1364" w:rsidRPr="00011EFC" w:rsidRDefault="00CC1364" w:rsidP="00011EFC">
            <w:r w:rsidRPr="00011EFC">
              <w:t>Mallard duck (</w:t>
            </w:r>
            <w:r w:rsidRPr="00011EFC">
              <w:rPr>
                <w:i/>
              </w:rPr>
              <w:t>Anas platyrhynchos</w:t>
            </w:r>
            <w:r w:rsidRPr="00011EFC">
              <w:t>)</w:t>
            </w:r>
          </w:p>
        </w:tc>
        <w:tc>
          <w:tcPr>
            <w:tcW w:w="2453" w:type="dxa"/>
          </w:tcPr>
          <w:p w14:paraId="15A7DCE1" w14:textId="77777777" w:rsidR="00CC1364" w:rsidRPr="00011EFC" w:rsidRDefault="00CC1364" w:rsidP="00011EFC">
            <w:r w:rsidRPr="00011EFC">
              <w:t>14-d LD50 = 1485 mg/kg-bw</w:t>
            </w:r>
          </w:p>
          <w:p w14:paraId="63D1599C" w14:textId="77777777" w:rsidR="00CC1364" w:rsidRPr="00011EFC" w:rsidRDefault="00CC1364" w:rsidP="00011EFC">
            <w:r w:rsidRPr="00011EFC">
              <w:t>(00160000)</w:t>
            </w:r>
          </w:p>
        </w:tc>
        <w:tc>
          <w:tcPr>
            <w:tcW w:w="2485" w:type="dxa"/>
            <w:vMerge w:val="restart"/>
          </w:tcPr>
          <w:p w14:paraId="7167A683" w14:textId="77777777" w:rsidR="00CC1364" w:rsidRPr="00011EFC" w:rsidRDefault="00CC1364" w:rsidP="00011EFC">
            <w:r w:rsidRPr="00011EFC">
              <w:t>14-d LD50 = 87 mg/kg-bw</w:t>
            </w:r>
          </w:p>
          <w:p w14:paraId="306BDE8F" w14:textId="77777777" w:rsidR="00CC1364" w:rsidRPr="00011EFC" w:rsidRDefault="00CC1364" w:rsidP="00011EFC">
            <w:r w:rsidRPr="00011EFC">
              <w:t>(48963306)</w:t>
            </w:r>
          </w:p>
        </w:tc>
        <w:tc>
          <w:tcPr>
            <w:tcW w:w="2255" w:type="dxa"/>
            <w:vMerge w:val="restart"/>
          </w:tcPr>
          <w:p w14:paraId="62614824" w14:textId="0B13CCB4" w:rsidR="00CC1364" w:rsidRPr="00011EFC" w:rsidRDefault="00CC1364" w:rsidP="00011EFC">
            <w:r>
              <w:t>17 &amp; &gt; 26</w:t>
            </w:r>
          </w:p>
        </w:tc>
      </w:tr>
      <w:tr w:rsidR="00CC1364" w:rsidRPr="00011EFC" w14:paraId="256B0274" w14:textId="49197035" w:rsidTr="00CC1364">
        <w:trPr>
          <w:trHeight w:val="350"/>
        </w:trPr>
        <w:tc>
          <w:tcPr>
            <w:tcW w:w="2157" w:type="dxa"/>
            <w:vMerge/>
          </w:tcPr>
          <w:p w14:paraId="56D16F47" w14:textId="77777777" w:rsidR="00CC1364" w:rsidRPr="00011EFC" w:rsidRDefault="00CC1364" w:rsidP="00011EFC"/>
        </w:tc>
        <w:tc>
          <w:tcPr>
            <w:tcW w:w="2453" w:type="dxa"/>
          </w:tcPr>
          <w:p w14:paraId="3BA6DDD2" w14:textId="77777777" w:rsidR="00CC1364" w:rsidRPr="00011EFC" w:rsidRDefault="00CC1364" w:rsidP="00011EFC">
            <w:r w:rsidRPr="00011EFC">
              <w:t>14-d LD50 &gt;2250 mg/kg-bw</w:t>
            </w:r>
          </w:p>
          <w:p w14:paraId="0B9891C4" w14:textId="77777777" w:rsidR="00CC1364" w:rsidRPr="00011EFC" w:rsidRDefault="00CC1364" w:rsidP="00011EFC">
            <w:r w:rsidRPr="00011EFC">
              <w:t>(48963307)</w:t>
            </w:r>
          </w:p>
        </w:tc>
        <w:tc>
          <w:tcPr>
            <w:tcW w:w="2485" w:type="dxa"/>
            <w:vMerge/>
          </w:tcPr>
          <w:p w14:paraId="771CC2D3" w14:textId="77777777" w:rsidR="00CC1364" w:rsidRPr="00011EFC" w:rsidRDefault="00CC1364" w:rsidP="00011EFC"/>
        </w:tc>
        <w:tc>
          <w:tcPr>
            <w:tcW w:w="2255" w:type="dxa"/>
            <w:vMerge/>
          </w:tcPr>
          <w:p w14:paraId="6FF28701" w14:textId="77777777" w:rsidR="00CC1364" w:rsidRPr="00011EFC" w:rsidRDefault="00CC1364" w:rsidP="00011EFC"/>
        </w:tc>
      </w:tr>
      <w:tr w:rsidR="00CC1364" w:rsidRPr="00011EFC" w14:paraId="0404F774" w14:textId="463224D4" w:rsidTr="00CC1364">
        <w:tc>
          <w:tcPr>
            <w:tcW w:w="2157" w:type="dxa"/>
            <w:vMerge/>
          </w:tcPr>
          <w:p w14:paraId="1549E1E7" w14:textId="77777777" w:rsidR="00CC1364" w:rsidRPr="00011EFC" w:rsidRDefault="00CC1364" w:rsidP="00011EFC"/>
        </w:tc>
        <w:tc>
          <w:tcPr>
            <w:tcW w:w="2453" w:type="dxa"/>
          </w:tcPr>
          <w:p w14:paraId="4E6C1284" w14:textId="77777777" w:rsidR="00CC1364" w:rsidRPr="00011EFC" w:rsidRDefault="00CC1364" w:rsidP="00011EFC">
            <w:r w:rsidRPr="00011EFC">
              <w:t>8-d LC50 &gt;5000 mg/kg-diet</w:t>
            </w:r>
          </w:p>
          <w:p w14:paraId="230F2341" w14:textId="77777777" w:rsidR="00CC1364" w:rsidRPr="00011EFC" w:rsidRDefault="00CC1364" w:rsidP="00011EFC">
            <w:r w:rsidRPr="00011EFC">
              <w:t>(00022923)</w:t>
            </w:r>
          </w:p>
        </w:tc>
        <w:tc>
          <w:tcPr>
            <w:tcW w:w="2485" w:type="dxa"/>
            <w:vMerge w:val="restart"/>
          </w:tcPr>
          <w:p w14:paraId="16C82B2A" w14:textId="77777777" w:rsidR="00CC1364" w:rsidRPr="00011EFC" w:rsidRDefault="00CC1364" w:rsidP="00011EFC">
            <w:r w:rsidRPr="00011EFC">
              <w:t>8-d LC50 &gt; 2880 mg/kg-diet</w:t>
            </w:r>
          </w:p>
          <w:p w14:paraId="182CA6BA" w14:textId="77777777" w:rsidR="00CC1364" w:rsidRPr="00011EFC" w:rsidRDefault="00CC1364" w:rsidP="00011EFC">
            <w:r w:rsidRPr="00011EFC">
              <w:t>(48963302)</w:t>
            </w:r>
          </w:p>
        </w:tc>
        <w:tc>
          <w:tcPr>
            <w:tcW w:w="2255" w:type="dxa"/>
            <w:vMerge w:val="restart"/>
          </w:tcPr>
          <w:p w14:paraId="0CBBAF69" w14:textId="4E632A13" w:rsidR="00CC1364" w:rsidRPr="00011EFC" w:rsidRDefault="00CC1364" w:rsidP="00011EFC">
            <w:r>
              <w:t>NA</w:t>
            </w:r>
          </w:p>
        </w:tc>
      </w:tr>
      <w:tr w:rsidR="00CC1364" w:rsidRPr="00011EFC" w14:paraId="3CBD4224" w14:textId="1745132F" w:rsidTr="00CC1364">
        <w:tc>
          <w:tcPr>
            <w:tcW w:w="2157" w:type="dxa"/>
            <w:vMerge/>
          </w:tcPr>
          <w:p w14:paraId="4D95D45D" w14:textId="77777777" w:rsidR="00CC1364" w:rsidRPr="00011EFC" w:rsidRDefault="00CC1364" w:rsidP="00011EFC"/>
        </w:tc>
        <w:tc>
          <w:tcPr>
            <w:tcW w:w="2453" w:type="dxa"/>
          </w:tcPr>
          <w:p w14:paraId="0800C89C" w14:textId="77777777" w:rsidR="00CC1364" w:rsidRPr="00011EFC" w:rsidRDefault="00CC1364" w:rsidP="00011EFC">
            <w:r w:rsidRPr="00011EFC">
              <w:t>8-d LC50 &gt;5850 mg/kg-diet</w:t>
            </w:r>
          </w:p>
          <w:p w14:paraId="211CAD77" w14:textId="77777777" w:rsidR="00CC1364" w:rsidRPr="00011EFC" w:rsidRDefault="00CC1364" w:rsidP="00011EFC">
            <w:r w:rsidRPr="00011EFC">
              <w:t>(48963303)</w:t>
            </w:r>
          </w:p>
        </w:tc>
        <w:tc>
          <w:tcPr>
            <w:tcW w:w="2485" w:type="dxa"/>
            <w:vMerge/>
          </w:tcPr>
          <w:p w14:paraId="643768D3" w14:textId="77777777" w:rsidR="00CC1364" w:rsidRPr="00011EFC" w:rsidRDefault="00CC1364" w:rsidP="00011EFC"/>
        </w:tc>
        <w:tc>
          <w:tcPr>
            <w:tcW w:w="2255" w:type="dxa"/>
            <w:vMerge/>
          </w:tcPr>
          <w:p w14:paraId="4FFDA2DA" w14:textId="77777777" w:rsidR="00CC1364" w:rsidRPr="00011EFC" w:rsidRDefault="00CC1364" w:rsidP="00011EFC"/>
        </w:tc>
      </w:tr>
      <w:tr w:rsidR="00CC1364" w:rsidRPr="00011EFC" w14:paraId="0C5B29B0" w14:textId="505D688D" w:rsidTr="00CC1364">
        <w:tc>
          <w:tcPr>
            <w:tcW w:w="2157" w:type="dxa"/>
          </w:tcPr>
          <w:p w14:paraId="439F309A" w14:textId="77777777" w:rsidR="00CC1364" w:rsidRPr="00011EFC" w:rsidRDefault="00CC1364" w:rsidP="00011EFC">
            <w:r w:rsidRPr="00011EFC">
              <w:lastRenderedPageBreak/>
              <w:t>Parasitic Wasp (</w:t>
            </w:r>
            <w:r w:rsidRPr="00011EFC">
              <w:rPr>
                <w:i/>
              </w:rPr>
              <w:t>Campoletis sp)</w:t>
            </w:r>
          </w:p>
        </w:tc>
        <w:tc>
          <w:tcPr>
            <w:tcW w:w="2453" w:type="dxa"/>
          </w:tcPr>
          <w:p w14:paraId="4D184F66" w14:textId="77777777" w:rsidR="00CC1364" w:rsidRPr="00011EFC" w:rsidRDefault="00CC1364" w:rsidP="00011EFC">
            <w:r w:rsidRPr="00011EFC">
              <w:t xml:space="preserve">1-d LD50 = 0.0064 </w:t>
            </w:r>
            <w:r w:rsidRPr="00011EFC">
              <w:rPr>
                <w:rFonts w:cstheme="minorHAnsi"/>
              </w:rPr>
              <w:t>µ</w:t>
            </w:r>
            <w:r w:rsidRPr="00011EFC">
              <w:t>g/org (E113287)</w:t>
            </w:r>
          </w:p>
        </w:tc>
        <w:tc>
          <w:tcPr>
            <w:tcW w:w="2485" w:type="dxa"/>
          </w:tcPr>
          <w:p w14:paraId="38AAD286" w14:textId="77777777" w:rsidR="00CC1364" w:rsidRPr="00011EFC" w:rsidRDefault="00CC1364" w:rsidP="00011EFC">
            <w:r w:rsidRPr="00011EFC">
              <w:t>1-d LD50 = 0.0046 µg/org (E113287)</w:t>
            </w:r>
          </w:p>
        </w:tc>
        <w:tc>
          <w:tcPr>
            <w:tcW w:w="2255" w:type="dxa"/>
          </w:tcPr>
          <w:p w14:paraId="2A80BD85" w14:textId="4D51F63D" w:rsidR="00CC1364" w:rsidRPr="00011EFC" w:rsidRDefault="00CC1364" w:rsidP="00011EFC">
            <w:r>
              <w:t>1.4</w:t>
            </w:r>
          </w:p>
        </w:tc>
      </w:tr>
      <w:tr w:rsidR="00CC1364" w:rsidRPr="00011EFC" w14:paraId="15446339" w14:textId="27F3580E" w:rsidTr="00CC1364">
        <w:tc>
          <w:tcPr>
            <w:tcW w:w="2157" w:type="dxa"/>
          </w:tcPr>
          <w:p w14:paraId="205AF199" w14:textId="77777777" w:rsidR="00CC1364" w:rsidRPr="00011EFC" w:rsidRDefault="00CC1364" w:rsidP="00011EFC">
            <w:r w:rsidRPr="00011EFC">
              <w:t>Rust-Red Flour Beetle (</w:t>
            </w:r>
            <w:r w:rsidRPr="00011EFC">
              <w:rPr>
                <w:i/>
              </w:rPr>
              <w:t>Tribolium castaneum</w:t>
            </w:r>
            <w:r w:rsidRPr="00011EFC">
              <w:t>)</w:t>
            </w:r>
          </w:p>
        </w:tc>
        <w:tc>
          <w:tcPr>
            <w:tcW w:w="2453" w:type="dxa"/>
          </w:tcPr>
          <w:p w14:paraId="5BF337F2" w14:textId="77777777" w:rsidR="00CC1364" w:rsidRPr="00011EFC" w:rsidRDefault="00CC1364" w:rsidP="00011EFC">
            <w:r w:rsidRPr="00011EFC">
              <w:t>1-d LC50 = 0.46 &amp; 116 mg/eu (E68165)</w:t>
            </w:r>
          </w:p>
        </w:tc>
        <w:tc>
          <w:tcPr>
            <w:tcW w:w="2485" w:type="dxa"/>
          </w:tcPr>
          <w:p w14:paraId="1CB6360D" w14:textId="77777777" w:rsidR="00CC1364" w:rsidRPr="00011EFC" w:rsidRDefault="00CC1364" w:rsidP="00011EFC">
            <w:r w:rsidRPr="00011EFC">
              <w:t>1-d LC50 = 0.37 &amp; 8.15 mg/eu (E68165)</w:t>
            </w:r>
          </w:p>
        </w:tc>
        <w:tc>
          <w:tcPr>
            <w:tcW w:w="2255" w:type="dxa"/>
          </w:tcPr>
          <w:p w14:paraId="3D85E887" w14:textId="5C606C1B" w:rsidR="00CC1364" w:rsidRPr="00011EFC" w:rsidRDefault="00CC1364" w:rsidP="00011EFC">
            <w:r>
              <w:t>0.05-313</w:t>
            </w:r>
          </w:p>
        </w:tc>
      </w:tr>
      <w:tr w:rsidR="00CC1364" w:rsidRPr="00011EFC" w14:paraId="00F52961" w14:textId="55365BE8" w:rsidTr="00CC1364">
        <w:tc>
          <w:tcPr>
            <w:tcW w:w="2157" w:type="dxa"/>
          </w:tcPr>
          <w:p w14:paraId="7B9F34A8" w14:textId="77777777" w:rsidR="00CC1364" w:rsidRPr="00011EFC" w:rsidRDefault="00CC1364" w:rsidP="00011EFC">
            <w:r w:rsidRPr="00011EFC">
              <w:t>Rat (</w:t>
            </w:r>
            <w:r w:rsidRPr="00011EFC">
              <w:rPr>
                <w:i/>
              </w:rPr>
              <w:t>Rattus norvegicus</w:t>
            </w:r>
            <w:r w:rsidRPr="00011EFC">
              <w:t xml:space="preserve"> )</w:t>
            </w:r>
          </w:p>
        </w:tc>
        <w:tc>
          <w:tcPr>
            <w:tcW w:w="2453" w:type="dxa"/>
          </w:tcPr>
          <w:p w14:paraId="25B3FEA7" w14:textId="77777777" w:rsidR="00CC1364" w:rsidRPr="00011EFC" w:rsidRDefault="00CC1364" w:rsidP="00011EFC">
            <w:r w:rsidRPr="00011EFC">
              <w:t>Acute LD50s = 207-8150 mg/kg/bw</w:t>
            </w:r>
          </w:p>
        </w:tc>
        <w:tc>
          <w:tcPr>
            <w:tcW w:w="2485" w:type="dxa"/>
          </w:tcPr>
          <w:p w14:paraId="053D1C9F" w14:textId="77777777" w:rsidR="00CC1364" w:rsidRPr="00011EFC" w:rsidRDefault="00CC1364" w:rsidP="00011EFC">
            <w:r w:rsidRPr="00011EFC">
              <w:t>14-d LD50 = 50 mg/kg/bw</w:t>
            </w:r>
          </w:p>
          <w:p w14:paraId="147FABF9" w14:textId="77777777" w:rsidR="00CC1364" w:rsidRPr="00011EFC" w:rsidRDefault="00CC1364" w:rsidP="00011EFC">
            <w:r w:rsidRPr="00011EFC">
              <w:t>(48571808)</w:t>
            </w:r>
          </w:p>
        </w:tc>
        <w:tc>
          <w:tcPr>
            <w:tcW w:w="2255" w:type="dxa"/>
          </w:tcPr>
          <w:p w14:paraId="2170BD75" w14:textId="7A2041DD" w:rsidR="00CC1364" w:rsidRPr="00011EFC" w:rsidRDefault="00CC1364" w:rsidP="00011EFC">
            <w:r>
              <w:t>4-163</w:t>
            </w:r>
          </w:p>
        </w:tc>
      </w:tr>
    </w:tbl>
    <w:p w14:paraId="2E6B7E7A" w14:textId="77777777" w:rsidR="00296E97" w:rsidRDefault="00296E97">
      <w:pPr>
        <w:rPr>
          <w:rFonts w:cs="Times New Roman"/>
          <w:b/>
        </w:rPr>
      </w:pPr>
    </w:p>
    <w:p w14:paraId="50C9D502" w14:textId="41633F23" w:rsidR="00296E97" w:rsidRPr="00132F83" w:rsidRDefault="00296E97" w:rsidP="00296E97">
      <w:pPr>
        <w:spacing w:after="0" w:line="240" w:lineRule="auto"/>
        <w:rPr>
          <w:rFonts w:cs="Times New Roman"/>
        </w:rPr>
      </w:pPr>
      <w:r w:rsidRPr="00132F83">
        <w:rPr>
          <w:rFonts w:cs="Times New Roman"/>
        </w:rPr>
        <w:t xml:space="preserve">For </w:t>
      </w:r>
      <w:r>
        <w:rPr>
          <w:rFonts w:cs="Times New Roman"/>
        </w:rPr>
        <w:t>the two degradates, DCA and MCA,</w:t>
      </w:r>
      <w:r w:rsidRPr="00132F83">
        <w:rPr>
          <w:rFonts w:cs="Times New Roman"/>
        </w:rPr>
        <w:t xml:space="preserve"> data are available fo</w:t>
      </w:r>
      <w:r w:rsidR="00014ECC">
        <w:rPr>
          <w:rFonts w:cs="Times New Roman"/>
        </w:rPr>
        <w:t>r</w:t>
      </w:r>
      <w:r w:rsidRPr="00132F83">
        <w:rPr>
          <w:rFonts w:cs="Times New Roman"/>
        </w:rPr>
        <w:t xml:space="preserve">  fish, aquatic invertebrate and </w:t>
      </w:r>
      <w:r>
        <w:rPr>
          <w:rFonts w:cs="Times New Roman"/>
        </w:rPr>
        <w:t>mammals</w:t>
      </w:r>
      <w:r w:rsidRPr="00132F83">
        <w:rPr>
          <w:rFonts w:cs="Times New Roman"/>
        </w:rPr>
        <w:t xml:space="preserve"> (</w:t>
      </w:r>
      <w:r w:rsidRPr="00132F83">
        <w:rPr>
          <w:rFonts w:cs="Times New Roman"/>
          <w:b/>
        </w:rPr>
        <w:t xml:space="preserve">Table </w:t>
      </w:r>
      <w:r w:rsidR="007E3A43">
        <w:rPr>
          <w:rFonts w:cs="Times New Roman"/>
          <w:b/>
        </w:rPr>
        <w:t>1-9.</w:t>
      </w:r>
      <w:r>
        <w:rPr>
          <w:rFonts w:cs="Times New Roman"/>
          <w:b/>
        </w:rPr>
        <w:t>3</w:t>
      </w:r>
      <w:r w:rsidRPr="00132F83">
        <w:rPr>
          <w:rFonts w:cs="Times New Roman"/>
        </w:rPr>
        <w:t xml:space="preserve">). </w:t>
      </w:r>
      <w:r>
        <w:rPr>
          <w:rFonts w:cs="Times New Roman"/>
        </w:rPr>
        <w:t xml:space="preserve">These degradates are </w:t>
      </w:r>
      <w:r w:rsidRPr="00132F83">
        <w:rPr>
          <w:rFonts w:cs="Times New Roman"/>
        </w:rPr>
        <w:t xml:space="preserve">orders of magnitude less toxic compared to the parent. Therefore </w:t>
      </w:r>
      <w:r>
        <w:rPr>
          <w:rFonts w:cs="Times New Roman"/>
        </w:rPr>
        <w:t>DCA and MCA</w:t>
      </w:r>
      <w:r w:rsidRPr="00132F83">
        <w:rPr>
          <w:rFonts w:cs="Times New Roman"/>
        </w:rPr>
        <w:t xml:space="preserve"> </w:t>
      </w:r>
      <w:r>
        <w:rPr>
          <w:rFonts w:cs="Times New Roman"/>
        </w:rPr>
        <w:t>are</w:t>
      </w:r>
      <w:r w:rsidRPr="00132F83">
        <w:rPr>
          <w:rFonts w:cs="Times New Roman"/>
        </w:rPr>
        <w:t xml:space="preserve"> not of toxicological concern and will not be considered further.</w:t>
      </w:r>
    </w:p>
    <w:p w14:paraId="428BB75E" w14:textId="77777777" w:rsidR="00CC1364" w:rsidRDefault="00CC1364" w:rsidP="00296E97">
      <w:pPr>
        <w:rPr>
          <w:rFonts w:cs="Times New Roman"/>
          <w:b/>
        </w:rPr>
      </w:pPr>
    </w:p>
    <w:p w14:paraId="5208200C" w14:textId="3B0DF52A" w:rsidR="00296E97" w:rsidRDefault="00296E97" w:rsidP="00296E97">
      <w:pPr>
        <w:rPr>
          <w:rFonts w:cs="Times New Roman"/>
          <w:b/>
        </w:rPr>
      </w:pPr>
      <w:r w:rsidRPr="00132F83">
        <w:rPr>
          <w:rFonts w:cs="Times New Roman"/>
          <w:b/>
        </w:rPr>
        <w:t xml:space="preserve">Table </w:t>
      </w:r>
      <w:r w:rsidR="007E3A43">
        <w:rPr>
          <w:rFonts w:cs="Times New Roman"/>
          <w:b/>
        </w:rPr>
        <w:t>1-9.</w:t>
      </w:r>
      <w:r>
        <w:rPr>
          <w:rFonts w:cs="Times New Roman"/>
          <w:b/>
        </w:rPr>
        <w:t>3</w:t>
      </w:r>
      <w:r w:rsidRPr="00132F83">
        <w:rPr>
          <w:rFonts w:cs="Times New Roman"/>
          <w:b/>
        </w:rPr>
        <w:t xml:space="preserve">. Comparison of </w:t>
      </w:r>
      <w:r>
        <w:rPr>
          <w:rFonts w:cs="Times New Roman"/>
          <w:b/>
        </w:rPr>
        <w:t xml:space="preserve">acute mortality </w:t>
      </w:r>
      <w:r w:rsidRPr="00132F83">
        <w:rPr>
          <w:rFonts w:cs="Times New Roman"/>
          <w:b/>
        </w:rPr>
        <w:t>toxicity data available</w:t>
      </w:r>
      <w:r>
        <w:rPr>
          <w:rFonts w:cs="Times New Roman"/>
          <w:b/>
        </w:rPr>
        <w:t xml:space="preserve"> for aquatic and terrestrial animals </w:t>
      </w:r>
      <w:r w:rsidRPr="00132F83">
        <w:rPr>
          <w:rFonts w:cs="Times New Roman"/>
          <w:b/>
        </w:rPr>
        <w:t>for</w:t>
      </w:r>
      <w:r>
        <w:rPr>
          <w:rFonts w:cs="Times New Roman"/>
          <w:b/>
        </w:rPr>
        <w:t xml:space="preserve"> dicarboxylic and monocarboxylic acid</w:t>
      </w:r>
      <w:r w:rsidRPr="00132F83">
        <w:rPr>
          <w:rFonts w:cs="Times New Roman"/>
          <w:b/>
        </w:rPr>
        <w:t>.</w:t>
      </w:r>
    </w:p>
    <w:tbl>
      <w:tblPr>
        <w:tblW w:w="7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5" w:type="dxa"/>
          <w:right w:w="135" w:type="dxa"/>
        </w:tblCellMar>
        <w:tblLook w:val="0000" w:firstRow="0" w:lastRow="0" w:firstColumn="0" w:lastColumn="0" w:noHBand="0" w:noVBand="0"/>
      </w:tblPr>
      <w:tblGrid>
        <w:gridCol w:w="2549"/>
        <w:gridCol w:w="720"/>
        <w:gridCol w:w="1260"/>
        <w:gridCol w:w="1878"/>
        <w:gridCol w:w="1208"/>
      </w:tblGrid>
      <w:tr w:rsidR="00296E97" w:rsidRPr="00296E97" w14:paraId="3C022DF7" w14:textId="77777777" w:rsidTr="0037312C">
        <w:trPr>
          <w:cantSplit/>
          <w:tblHeader/>
        </w:trPr>
        <w:tc>
          <w:tcPr>
            <w:tcW w:w="2549" w:type="dxa"/>
            <w:shd w:val="pct10" w:color="auto" w:fill="auto"/>
            <w:tcMar>
              <w:left w:w="29" w:type="dxa"/>
              <w:right w:w="29" w:type="dxa"/>
            </w:tcMar>
            <w:vAlign w:val="bottom"/>
          </w:tcPr>
          <w:p w14:paraId="603CD3B8" w14:textId="77777777" w:rsidR="00296E97" w:rsidRPr="00296E97" w:rsidRDefault="00296E97" w:rsidP="0037312C">
            <w:pPr>
              <w:spacing w:after="0" w:line="240" w:lineRule="auto"/>
              <w:rPr>
                <w:rFonts w:cs="Times New Roman"/>
                <w:b/>
                <w:bCs/>
              </w:rPr>
            </w:pPr>
            <w:r w:rsidRPr="00296E97">
              <w:rPr>
                <w:rFonts w:cs="Times New Roman"/>
                <w:b/>
                <w:bCs/>
              </w:rPr>
              <w:t>Test Material /</w:t>
            </w:r>
          </w:p>
          <w:p w14:paraId="18931915" w14:textId="77777777" w:rsidR="00296E97" w:rsidRPr="00296E97" w:rsidRDefault="00296E97" w:rsidP="0037312C">
            <w:pPr>
              <w:spacing w:after="0" w:line="240" w:lineRule="auto"/>
              <w:rPr>
                <w:rFonts w:cs="Times New Roman"/>
                <w:b/>
                <w:bCs/>
              </w:rPr>
            </w:pPr>
            <w:r w:rsidRPr="00296E97">
              <w:rPr>
                <w:rFonts w:cs="Times New Roman"/>
                <w:b/>
                <w:bCs/>
              </w:rPr>
              <w:t>Test Species</w:t>
            </w:r>
          </w:p>
        </w:tc>
        <w:tc>
          <w:tcPr>
            <w:tcW w:w="720" w:type="dxa"/>
            <w:shd w:val="pct10" w:color="auto" w:fill="auto"/>
            <w:tcMar>
              <w:left w:w="29" w:type="dxa"/>
              <w:right w:w="29" w:type="dxa"/>
            </w:tcMar>
            <w:vAlign w:val="bottom"/>
          </w:tcPr>
          <w:p w14:paraId="5E35E8EF" w14:textId="77777777" w:rsidR="00296E97" w:rsidRPr="00296E97" w:rsidRDefault="00296E97" w:rsidP="0037312C">
            <w:pPr>
              <w:spacing w:after="0" w:line="240" w:lineRule="auto"/>
              <w:rPr>
                <w:rFonts w:cs="Times New Roman"/>
                <w:b/>
                <w:bCs/>
              </w:rPr>
            </w:pPr>
            <w:r w:rsidRPr="00296E97">
              <w:rPr>
                <w:rFonts w:cs="Times New Roman"/>
                <w:b/>
                <w:bCs/>
              </w:rPr>
              <w:t>%</w:t>
            </w:r>
          </w:p>
          <w:p w14:paraId="5535FC67" w14:textId="77777777" w:rsidR="00296E97" w:rsidRPr="00296E97" w:rsidRDefault="00296E97" w:rsidP="0037312C">
            <w:pPr>
              <w:spacing w:after="0" w:line="240" w:lineRule="auto"/>
              <w:rPr>
                <w:rFonts w:cs="Times New Roman"/>
                <w:b/>
                <w:bCs/>
              </w:rPr>
            </w:pPr>
            <w:r w:rsidRPr="00296E97">
              <w:rPr>
                <w:rFonts w:cs="Times New Roman"/>
                <w:b/>
                <w:bCs/>
              </w:rPr>
              <w:t>AI</w:t>
            </w:r>
          </w:p>
        </w:tc>
        <w:tc>
          <w:tcPr>
            <w:tcW w:w="1260" w:type="dxa"/>
            <w:shd w:val="pct10" w:color="auto" w:fill="auto"/>
            <w:vAlign w:val="bottom"/>
          </w:tcPr>
          <w:p w14:paraId="1320E49F" w14:textId="77777777" w:rsidR="00296E97" w:rsidRPr="00296E97" w:rsidRDefault="00296E97" w:rsidP="0037312C">
            <w:pPr>
              <w:spacing w:after="0" w:line="240" w:lineRule="auto"/>
              <w:rPr>
                <w:rFonts w:cs="Times New Roman"/>
                <w:b/>
                <w:bCs/>
              </w:rPr>
            </w:pPr>
            <w:r w:rsidRPr="00296E97">
              <w:rPr>
                <w:rFonts w:cs="Times New Roman"/>
                <w:b/>
                <w:bCs/>
              </w:rPr>
              <w:t>Duration</w:t>
            </w:r>
          </w:p>
          <w:p w14:paraId="6FEF5C22" w14:textId="6BCD33BF" w:rsidR="00296E97" w:rsidRPr="00296E97" w:rsidRDefault="00296E97" w:rsidP="0037312C">
            <w:pPr>
              <w:spacing w:after="0" w:line="240" w:lineRule="auto"/>
              <w:rPr>
                <w:rFonts w:cs="Times New Roman"/>
                <w:b/>
                <w:bCs/>
              </w:rPr>
            </w:pPr>
          </w:p>
        </w:tc>
        <w:tc>
          <w:tcPr>
            <w:tcW w:w="1878" w:type="dxa"/>
            <w:shd w:val="pct10" w:color="auto" w:fill="auto"/>
            <w:tcMar>
              <w:left w:w="29" w:type="dxa"/>
              <w:right w:w="29" w:type="dxa"/>
            </w:tcMar>
            <w:vAlign w:val="bottom"/>
          </w:tcPr>
          <w:p w14:paraId="4CAE8348" w14:textId="68E97635" w:rsidR="00296E97" w:rsidRPr="00296E97" w:rsidRDefault="00F63933" w:rsidP="0037312C">
            <w:pPr>
              <w:spacing w:after="0" w:line="240" w:lineRule="auto"/>
              <w:rPr>
                <w:rFonts w:cs="Times New Roman"/>
                <w:b/>
                <w:bCs/>
              </w:rPr>
            </w:pPr>
            <w:r>
              <w:rPr>
                <w:rFonts w:cs="Times New Roman"/>
                <w:b/>
                <w:bCs/>
              </w:rPr>
              <w:t>Toxicity Value</w:t>
            </w:r>
          </w:p>
        </w:tc>
        <w:tc>
          <w:tcPr>
            <w:tcW w:w="1208" w:type="dxa"/>
            <w:shd w:val="pct10" w:color="auto" w:fill="auto"/>
            <w:tcMar>
              <w:left w:w="29" w:type="dxa"/>
              <w:right w:w="29" w:type="dxa"/>
            </w:tcMar>
            <w:vAlign w:val="bottom"/>
          </w:tcPr>
          <w:p w14:paraId="5DEF2F9B" w14:textId="77777777" w:rsidR="00296E97" w:rsidRPr="00296E97" w:rsidRDefault="00296E97" w:rsidP="0037312C">
            <w:pPr>
              <w:spacing w:after="0" w:line="240" w:lineRule="auto"/>
              <w:rPr>
                <w:rFonts w:cs="Times New Roman"/>
                <w:b/>
                <w:bCs/>
              </w:rPr>
            </w:pPr>
            <w:r w:rsidRPr="00296E97">
              <w:rPr>
                <w:rFonts w:cs="Times New Roman"/>
                <w:b/>
                <w:bCs/>
              </w:rPr>
              <w:t>Reference MRID or ECOTOX</w:t>
            </w:r>
          </w:p>
        </w:tc>
      </w:tr>
      <w:tr w:rsidR="00296E97" w:rsidRPr="00296E97" w14:paraId="694031CB" w14:textId="77777777" w:rsidTr="00296E97">
        <w:trPr>
          <w:cantSplit/>
          <w:tblHeader/>
        </w:trPr>
        <w:tc>
          <w:tcPr>
            <w:tcW w:w="7615" w:type="dxa"/>
            <w:gridSpan w:val="5"/>
            <w:shd w:val="clear" w:color="auto" w:fill="FFFFFF" w:themeFill="background1"/>
            <w:tcMar>
              <w:left w:w="29" w:type="dxa"/>
              <w:right w:w="29" w:type="dxa"/>
            </w:tcMar>
            <w:vAlign w:val="bottom"/>
          </w:tcPr>
          <w:p w14:paraId="3AAA42B5" w14:textId="77777777" w:rsidR="00296E97" w:rsidRPr="00296E97" w:rsidRDefault="00296E97" w:rsidP="0037312C">
            <w:pPr>
              <w:spacing w:after="0" w:line="240" w:lineRule="auto"/>
              <w:rPr>
                <w:rFonts w:cs="Times New Roman"/>
              </w:rPr>
            </w:pPr>
            <w:r w:rsidRPr="00296E97">
              <w:rPr>
                <w:rFonts w:cs="Times New Roman"/>
              </w:rPr>
              <w:t>dicarboxylic acid</w:t>
            </w:r>
          </w:p>
          <w:p w14:paraId="30CDFBC3" w14:textId="77777777" w:rsidR="00296E97" w:rsidRPr="00296E97" w:rsidRDefault="00296E97" w:rsidP="0037312C">
            <w:pPr>
              <w:spacing w:after="0" w:line="240" w:lineRule="auto"/>
              <w:rPr>
                <w:rFonts w:cs="Times New Roman"/>
                <w:b/>
                <w:bCs/>
              </w:rPr>
            </w:pPr>
          </w:p>
        </w:tc>
      </w:tr>
      <w:tr w:rsidR="00296E97" w:rsidRPr="00296E97" w14:paraId="02ADB17F" w14:textId="77777777" w:rsidTr="0037312C">
        <w:trPr>
          <w:cantSplit/>
        </w:trPr>
        <w:tc>
          <w:tcPr>
            <w:tcW w:w="2549" w:type="dxa"/>
            <w:tcMar>
              <w:left w:w="29" w:type="dxa"/>
              <w:right w:w="29" w:type="dxa"/>
            </w:tcMar>
            <w:vAlign w:val="center"/>
          </w:tcPr>
          <w:p w14:paraId="5EC31D4C" w14:textId="77777777" w:rsidR="00296E97" w:rsidRPr="00296E97" w:rsidRDefault="00296E97" w:rsidP="0037312C">
            <w:pPr>
              <w:spacing w:after="0" w:line="240" w:lineRule="auto"/>
              <w:rPr>
                <w:rFonts w:cs="Times New Roman"/>
              </w:rPr>
            </w:pPr>
            <w:r w:rsidRPr="00296E97">
              <w:rPr>
                <w:rFonts w:cs="Times New Roman"/>
              </w:rPr>
              <w:t>Bluegill sunfish (</w:t>
            </w:r>
            <w:r w:rsidRPr="00296E97">
              <w:rPr>
                <w:rFonts w:cs="Times New Roman"/>
                <w:i/>
              </w:rPr>
              <w:t>Lepomis macrochirus</w:t>
            </w:r>
            <w:r w:rsidRPr="00296E97">
              <w:rPr>
                <w:rFonts w:cs="Times New Roman"/>
              </w:rPr>
              <w:t>)</w:t>
            </w:r>
          </w:p>
        </w:tc>
        <w:tc>
          <w:tcPr>
            <w:tcW w:w="720" w:type="dxa"/>
            <w:tcMar>
              <w:left w:w="29" w:type="dxa"/>
              <w:right w:w="29" w:type="dxa"/>
            </w:tcMar>
            <w:vAlign w:val="center"/>
          </w:tcPr>
          <w:p w14:paraId="7E47E3AB" w14:textId="77777777" w:rsidR="00296E97" w:rsidRPr="00296E97" w:rsidRDefault="00296E97" w:rsidP="0037312C">
            <w:pPr>
              <w:spacing w:after="0" w:line="240" w:lineRule="auto"/>
              <w:rPr>
                <w:rFonts w:cs="Times New Roman"/>
              </w:rPr>
            </w:pPr>
            <w:r w:rsidRPr="00296E97">
              <w:rPr>
                <w:rFonts w:cs="Times New Roman"/>
              </w:rPr>
              <w:t>98.8</w:t>
            </w:r>
          </w:p>
        </w:tc>
        <w:tc>
          <w:tcPr>
            <w:tcW w:w="1260" w:type="dxa"/>
            <w:vAlign w:val="center"/>
          </w:tcPr>
          <w:p w14:paraId="26F60904" w14:textId="3A470758" w:rsidR="00296E97" w:rsidRPr="00296E97" w:rsidRDefault="00296E97" w:rsidP="0037312C">
            <w:pPr>
              <w:spacing w:after="0" w:line="240" w:lineRule="auto"/>
              <w:rPr>
                <w:rFonts w:cs="Times New Roman"/>
              </w:rPr>
            </w:pPr>
            <w:r w:rsidRPr="00296E97">
              <w:rPr>
                <w:rFonts w:cs="Times New Roman"/>
              </w:rPr>
              <w:t>96</w:t>
            </w:r>
            <w:r w:rsidR="00F63933">
              <w:rPr>
                <w:rFonts w:cs="Times New Roman"/>
              </w:rPr>
              <w:t xml:space="preserve"> hr</w:t>
            </w:r>
          </w:p>
        </w:tc>
        <w:tc>
          <w:tcPr>
            <w:tcW w:w="1878" w:type="dxa"/>
            <w:tcMar>
              <w:left w:w="29" w:type="dxa"/>
              <w:right w:w="29" w:type="dxa"/>
            </w:tcMar>
            <w:vAlign w:val="center"/>
          </w:tcPr>
          <w:p w14:paraId="47C49586" w14:textId="5F68B1EF" w:rsidR="00296E97" w:rsidRPr="00296E97" w:rsidRDefault="00296E97" w:rsidP="0037312C">
            <w:pPr>
              <w:spacing w:after="0" w:line="240" w:lineRule="auto"/>
              <w:rPr>
                <w:rFonts w:cs="Times New Roman"/>
              </w:rPr>
            </w:pPr>
            <w:r w:rsidRPr="00296E97">
              <w:rPr>
                <w:rFonts w:cs="Times New Roman"/>
              </w:rPr>
              <w:t>&gt;87</w:t>
            </w:r>
            <w:r w:rsidR="00F63933">
              <w:rPr>
                <w:rFonts w:cs="Times New Roman"/>
              </w:rPr>
              <w:t xml:space="preserve"> mg/L</w:t>
            </w:r>
          </w:p>
        </w:tc>
        <w:tc>
          <w:tcPr>
            <w:tcW w:w="1208" w:type="dxa"/>
            <w:tcMar>
              <w:left w:w="29" w:type="dxa"/>
              <w:right w:w="29" w:type="dxa"/>
            </w:tcMar>
            <w:vAlign w:val="center"/>
          </w:tcPr>
          <w:p w14:paraId="5BA922EC" w14:textId="77777777" w:rsidR="00296E97" w:rsidRPr="00296E97" w:rsidRDefault="00296E97" w:rsidP="0037312C">
            <w:pPr>
              <w:spacing w:after="0" w:line="240" w:lineRule="auto"/>
              <w:rPr>
                <w:rFonts w:cs="Times New Roman"/>
              </w:rPr>
            </w:pPr>
            <w:r w:rsidRPr="00296E97">
              <w:rPr>
                <w:rFonts w:cs="Times New Roman"/>
              </w:rPr>
              <w:t>47540306</w:t>
            </w:r>
          </w:p>
        </w:tc>
      </w:tr>
      <w:tr w:rsidR="00296E97" w:rsidRPr="00296E97" w14:paraId="519462DC" w14:textId="77777777" w:rsidTr="0037312C">
        <w:trPr>
          <w:cantSplit/>
        </w:trPr>
        <w:tc>
          <w:tcPr>
            <w:tcW w:w="2549" w:type="dxa"/>
            <w:tcMar>
              <w:left w:w="29" w:type="dxa"/>
              <w:right w:w="29" w:type="dxa"/>
            </w:tcMar>
            <w:vAlign w:val="center"/>
          </w:tcPr>
          <w:p w14:paraId="5C7F0EFB" w14:textId="77777777" w:rsidR="00296E97" w:rsidRPr="00296E97" w:rsidRDefault="00296E97" w:rsidP="0037312C">
            <w:pPr>
              <w:spacing w:after="0" w:line="240" w:lineRule="auto"/>
              <w:rPr>
                <w:rFonts w:cs="Times New Roman"/>
              </w:rPr>
            </w:pPr>
            <w:r>
              <w:rPr>
                <w:rFonts w:cs="Times New Roman"/>
              </w:rPr>
              <w:t>Waterflea (</w:t>
            </w:r>
            <w:r w:rsidRPr="00296E97">
              <w:rPr>
                <w:rFonts w:cs="Times New Roman"/>
                <w:i/>
              </w:rPr>
              <w:t>Daphnia magna</w:t>
            </w:r>
            <w:r>
              <w:rPr>
                <w:rFonts w:cs="Times New Roman"/>
              </w:rPr>
              <w:t>)</w:t>
            </w:r>
          </w:p>
        </w:tc>
        <w:tc>
          <w:tcPr>
            <w:tcW w:w="720" w:type="dxa"/>
            <w:tcMar>
              <w:left w:w="29" w:type="dxa"/>
              <w:right w:w="29" w:type="dxa"/>
            </w:tcMar>
            <w:vAlign w:val="center"/>
          </w:tcPr>
          <w:p w14:paraId="116E95B8" w14:textId="77777777" w:rsidR="00296E97" w:rsidRPr="00296E97" w:rsidRDefault="00296E97" w:rsidP="0037312C">
            <w:pPr>
              <w:spacing w:after="0" w:line="240" w:lineRule="auto"/>
              <w:rPr>
                <w:rFonts w:cs="Times New Roman"/>
              </w:rPr>
            </w:pPr>
            <w:r w:rsidRPr="00296E97">
              <w:rPr>
                <w:rFonts w:cs="Times New Roman"/>
              </w:rPr>
              <w:t>98.8</w:t>
            </w:r>
          </w:p>
        </w:tc>
        <w:tc>
          <w:tcPr>
            <w:tcW w:w="1260" w:type="dxa"/>
            <w:vAlign w:val="center"/>
          </w:tcPr>
          <w:p w14:paraId="5A7278DA" w14:textId="51F1969B" w:rsidR="00296E97" w:rsidRPr="00296E97" w:rsidRDefault="00296E97" w:rsidP="0037312C">
            <w:pPr>
              <w:spacing w:after="0" w:line="240" w:lineRule="auto"/>
              <w:rPr>
                <w:rFonts w:cs="Times New Roman"/>
              </w:rPr>
            </w:pPr>
            <w:r w:rsidRPr="00296E97">
              <w:rPr>
                <w:rFonts w:cs="Times New Roman"/>
              </w:rPr>
              <w:t>48</w:t>
            </w:r>
            <w:r w:rsidR="00F63933">
              <w:rPr>
                <w:rFonts w:cs="Times New Roman"/>
              </w:rPr>
              <w:t xml:space="preserve"> hr</w:t>
            </w:r>
          </w:p>
        </w:tc>
        <w:tc>
          <w:tcPr>
            <w:tcW w:w="1878" w:type="dxa"/>
            <w:tcMar>
              <w:left w:w="29" w:type="dxa"/>
              <w:right w:w="29" w:type="dxa"/>
            </w:tcMar>
            <w:vAlign w:val="center"/>
          </w:tcPr>
          <w:p w14:paraId="74932832" w14:textId="4E7F0021" w:rsidR="00296E97" w:rsidRPr="00296E97" w:rsidRDefault="00296E97" w:rsidP="0037312C">
            <w:pPr>
              <w:spacing w:after="0" w:line="240" w:lineRule="auto"/>
              <w:rPr>
                <w:rFonts w:cs="Times New Roman"/>
              </w:rPr>
            </w:pPr>
            <w:r w:rsidRPr="00296E97">
              <w:rPr>
                <w:rFonts w:cs="Times New Roman"/>
              </w:rPr>
              <w:t>66.9</w:t>
            </w:r>
            <w:r w:rsidR="00F63933">
              <w:rPr>
                <w:rFonts w:cs="Times New Roman"/>
              </w:rPr>
              <w:t xml:space="preserve"> mg/L</w:t>
            </w:r>
          </w:p>
          <w:p w14:paraId="4C7A00AC" w14:textId="77777777" w:rsidR="00296E97" w:rsidRPr="00296E97" w:rsidRDefault="00296E97" w:rsidP="0037312C">
            <w:pPr>
              <w:spacing w:after="0" w:line="240" w:lineRule="auto"/>
              <w:rPr>
                <w:rFonts w:cs="Times New Roman"/>
              </w:rPr>
            </w:pPr>
            <w:r w:rsidRPr="00296E97">
              <w:rPr>
                <w:rFonts w:cs="Times New Roman"/>
              </w:rPr>
              <w:t>(48.1 - 93.0)</w:t>
            </w:r>
          </w:p>
        </w:tc>
        <w:tc>
          <w:tcPr>
            <w:tcW w:w="1208" w:type="dxa"/>
            <w:tcMar>
              <w:left w:w="29" w:type="dxa"/>
              <w:right w:w="29" w:type="dxa"/>
            </w:tcMar>
            <w:vAlign w:val="center"/>
          </w:tcPr>
          <w:p w14:paraId="7F789FB8" w14:textId="77777777" w:rsidR="00296E97" w:rsidRPr="00296E97" w:rsidRDefault="00296E97" w:rsidP="0037312C">
            <w:pPr>
              <w:spacing w:after="0" w:line="240" w:lineRule="auto"/>
              <w:rPr>
                <w:rFonts w:cs="Times New Roman"/>
              </w:rPr>
            </w:pPr>
            <w:r w:rsidRPr="00296E97">
              <w:rPr>
                <w:rFonts w:cs="Times New Roman"/>
              </w:rPr>
              <w:t>47540305</w:t>
            </w:r>
          </w:p>
        </w:tc>
      </w:tr>
      <w:tr w:rsidR="00296E97" w:rsidRPr="00296E97" w14:paraId="23647989" w14:textId="77777777" w:rsidTr="0037312C">
        <w:trPr>
          <w:cantSplit/>
        </w:trPr>
        <w:tc>
          <w:tcPr>
            <w:tcW w:w="2549" w:type="dxa"/>
            <w:tcMar>
              <w:left w:w="29" w:type="dxa"/>
              <w:right w:w="29" w:type="dxa"/>
            </w:tcMar>
            <w:vAlign w:val="center"/>
          </w:tcPr>
          <w:p w14:paraId="44A16611" w14:textId="4CC08F70" w:rsidR="00296E97" w:rsidRPr="00296E97" w:rsidRDefault="00C23729" w:rsidP="0037312C">
            <w:pPr>
              <w:spacing w:after="0" w:line="240" w:lineRule="auto"/>
              <w:rPr>
                <w:rFonts w:cs="Times New Roman"/>
              </w:rPr>
            </w:pPr>
            <w:r>
              <w:rPr>
                <w:rFonts w:cs="Times New Roman"/>
              </w:rPr>
              <w:t>Rat</w:t>
            </w:r>
          </w:p>
        </w:tc>
        <w:tc>
          <w:tcPr>
            <w:tcW w:w="720" w:type="dxa"/>
            <w:tcMar>
              <w:left w:w="29" w:type="dxa"/>
              <w:right w:w="29" w:type="dxa"/>
            </w:tcMar>
            <w:vAlign w:val="center"/>
          </w:tcPr>
          <w:p w14:paraId="7ED57356" w14:textId="124B8F29" w:rsidR="00296E97" w:rsidRPr="00296E97" w:rsidRDefault="00C23729" w:rsidP="0037312C">
            <w:pPr>
              <w:spacing w:after="0" w:line="240" w:lineRule="auto"/>
              <w:rPr>
                <w:rFonts w:cs="Times New Roman"/>
              </w:rPr>
            </w:pPr>
            <w:r>
              <w:rPr>
                <w:rFonts w:cs="Times New Roman"/>
              </w:rPr>
              <w:t>98.8</w:t>
            </w:r>
          </w:p>
        </w:tc>
        <w:tc>
          <w:tcPr>
            <w:tcW w:w="1260" w:type="dxa"/>
            <w:vAlign w:val="center"/>
          </w:tcPr>
          <w:p w14:paraId="5DB6B04A" w14:textId="77BFD8B4" w:rsidR="00296E97" w:rsidRPr="00296E97" w:rsidRDefault="00C23729" w:rsidP="0037312C">
            <w:pPr>
              <w:spacing w:after="0" w:line="240" w:lineRule="auto"/>
              <w:rPr>
                <w:rFonts w:cs="Times New Roman"/>
              </w:rPr>
            </w:pPr>
            <w:r>
              <w:rPr>
                <w:rFonts w:cs="Times New Roman"/>
              </w:rPr>
              <w:t>14-day</w:t>
            </w:r>
          </w:p>
        </w:tc>
        <w:tc>
          <w:tcPr>
            <w:tcW w:w="1878" w:type="dxa"/>
            <w:tcMar>
              <w:left w:w="29" w:type="dxa"/>
              <w:right w:w="29" w:type="dxa"/>
            </w:tcMar>
            <w:vAlign w:val="center"/>
          </w:tcPr>
          <w:p w14:paraId="4495DF13" w14:textId="734406DF" w:rsidR="00296E97" w:rsidRPr="00296E97" w:rsidRDefault="00F63933" w:rsidP="0037312C">
            <w:pPr>
              <w:spacing w:after="0" w:line="240" w:lineRule="auto"/>
              <w:rPr>
                <w:rFonts w:cs="Times New Roman"/>
              </w:rPr>
            </w:pPr>
            <w:r>
              <w:rPr>
                <w:rFonts w:cs="Times New Roman"/>
              </w:rPr>
              <w:t>&gt; 2000 mg/kg/bw</w:t>
            </w:r>
          </w:p>
        </w:tc>
        <w:tc>
          <w:tcPr>
            <w:tcW w:w="1208" w:type="dxa"/>
            <w:tcMar>
              <w:left w:w="29" w:type="dxa"/>
              <w:right w:w="29" w:type="dxa"/>
            </w:tcMar>
            <w:vAlign w:val="center"/>
          </w:tcPr>
          <w:p w14:paraId="449BADB9" w14:textId="13C88044" w:rsidR="00296E97" w:rsidRPr="00296E97" w:rsidRDefault="00F63933" w:rsidP="0037312C">
            <w:pPr>
              <w:spacing w:after="0" w:line="240" w:lineRule="auto"/>
              <w:rPr>
                <w:rFonts w:cs="Times New Roman"/>
              </w:rPr>
            </w:pPr>
            <w:r>
              <w:rPr>
                <w:rFonts w:cs="Times New Roman"/>
              </w:rPr>
              <w:t>49252803</w:t>
            </w:r>
          </w:p>
        </w:tc>
      </w:tr>
      <w:tr w:rsidR="00296E97" w:rsidRPr="00296E97" w14:paraId="2D01B35A" w14:textId="77777777" w:rsidTr="0037312C">
        <w:trPr>
          <w:cantSplit/>
        </w:trPr>
        <w:tc>
          <w:tcPr>
            <w:tcW w:w="7615" w:type="dxa"/>
            <w:gridSpan w:val="5"/>
            <w:tcMar>
              <w:left w:w="29" w:type="dxa"/>
              <w:right w:w="29" w:type="dxa"/>
            </w:tcMar>
            <w:vAlign w:val="center"/>
          </w:tcPr>
          <w:p w14:paraId="65D0BE70" w14:textId="77777777" w:rsidR="00296E97" w:rsidRPr="00296E97" w:rsidRDefault="00296E97" w:rsidP="0037312C">
            <w:pPr>
              <w:spacing w:after="0" w:line="240" w:lineRule="auto"/>
              <w:rPr>
                <w:rFonts w:cs="Times New Roman"/>
              </w:rPr>
            </w:pPr>
            <w:r w:rsidRPr="00296E97">
              <w:rPr>
                <w:rFonts w:cs="Times New Roman"/>
              </w:rPr>
              <w:t>monocarboxylic acid (α and  β mixture)</w:t>
            </w:r>
          </w:p>
          <w:p w14:paraId="1426BBDC" w14:textId="77777777" w:rsidR="00296E97" w:rsidRPr="00296E97" w:rsidRDefault="00296E97" w:rsidP="0037312C">
            <w:pPr>
              <w:spacing w:after="0" w:line="240" w:lineRule="auto"/>
              <w:rPr>
                <w:rFonts w:cs="Times New Roman"/>
              </w:rPr>
            </w:pPr>
          </w:p>
        </w:tc>
      </w:tr>
      <w:tr w:rsidR="00296E97" w:rsidRPr="00296E97" w14:paraId="3967915F" w14:textId="77777777" w:rsidTr="0037312C">
        <w:trPr>
          <w:cantSplit/>
        </w:trPr>
        <w:tc>
          <w:tcPr>
            <w:tcW w:w="2549" w:type="dxa"/>
            <w:tcMar>
              <w:left w:w="29" w:type="dxa"/>
              <w:right w:w="29" w:type="dxa"/>
            </w:tcMar>
            <w:vAlign w:val="center"/>
          </w:tcPr>
          <w:p w14:paraId="354A41A9" w14:textId="77777777" w:rsidR="00296E97" w:rsidRPr="00296E97" w:rsidRDefault="00296E97" w:rsidP="0037312C">
            <w:pPr>
              <w:spacing w:after="0" w:line="240" w:lineRule="auto"/>
              <w:rPr>
                <w:rFonts w:cs="Times New Roman"/>
              </w:rPr>
            </w:pPr>
            <w:r w:rsidRPr="00296E97">
              <w:rPr>
                <w:rFonts w:cs="Times New Roman"/>
              </w:rPr>
              <w:t>Bluegill sunfish (</w:t>
            </w:r>
            <w:r w:rsidRPr="00296E97">
              <w:rPr>
                <w:rFonts w:cs="Times New Roman"/>
                <w:i/>
              </w:rPr>
              <w:t>L</w:t>
            </w:r>
            <w:r>
              <w:rPr>
                <w:rFonts w:cs="Times New Roman"/>
                <w:i/>
              </w:rPr>
              <w:t>.</w:t>
            </w:r>
            <w:r w:rsidRPr="00296E97">
              <w:rPr>
                <w:rFonts w:cs="Times New Roman"/>
                <w:i/>
              </w:rPr>
              <w:t xml:space="preserve"> macrochirus</w:t>
            </w:r>
            <w:r w:rsidRPr="00296E97">
              <w:rPr>
                <w:rFonts w:cs="Times New Roman"/>
              </w:rPr>
              <w:t>)</w:t>
            </w:r>
          </w:p>
        </w:tc>
        <w:tc>
          <w:tcPr>
            <w:tcW w:w="720" w:type="dxa"/>
            <w:tcMar>
              <w:left w:w="29" w:type="dxa"/>
              <w:right w:w="29" w:type="dxa"/>
            </w:tcMar>
            <w:vAlign w:val="center"/>
          </w:tcPr>
          <w:p w14:paraId="7CC5D28C" w14:textId="77777777" w:rsidR="00296E97" w:rsidRPr="00296E97" w:rsidRDefault="00296E97" w:rsidP="0037312C">
            <w:pPr>
              <w:spacing w:after="0" w:line="240" w:lineRule="auto"/>
              <w:rPr>
                <w:rFonts w:cs="Times New Roman"/>
              </w:rPr>
            </w:pPr>
            <w:r w:rsidRPr="00296E97">
              <w:rPr>
                <w:rFonts w:cs="Times New Roman"/>
              </w:rPr>
              <w:t>92.2</w:t>
            </w:r>
          </w:p>
        </w:tc>
        <w:tc>
          <w:tcPr>
            <w:tcW w:w="1260" w:type="dxa"/>
            <w:vAlign w:val="center"/>
          </w:tcPr>
          <w:p w14:paraId="4C2B431D" w14:textId="3C2B97C5" w:rsidR="00296E97" w:rsidRPr="00296E97" w:rsidRDefault="00296E97" w:rsidP="0037312C">
            <w:pPr>
              <w:spacing w:after="0" w:line="240" w:lineRule="auto"/>
              <w:rPr>
                <w:rFonts w:cs="Times New Roman"/>
              </w:rPr>
            </w:pPr>
            <w:r w:rsidRPr="00296E97">
              <w:rPr>
                <w:rFonts w:cs="Times New Roman"/>
              </w:rPr>
              <w:t>96</w:t>
            </w:r>
            <w:r w:rsidR="00F63933">
              <w:rPr>
                <w:rFonts w:cs="Times New Roman"/>
              </w:rPr>
              <w:t xml:space="preserve"> hr</w:t>
            </w:r>
          </w:p>
        </w:tc>
        <w:tc>
          <w:tcPr>
            <w:tcW w:w="1878" w:type="dxa"/>
            <w:tcMar>
              <w:left w:w="29" w:type="dxa"/>
              <w:right w:w="29" w:type="dxa"/>
            </w:tcMar>
            <w:vAlign w:val="center"/>
          </w:tcPr>
          <w:p w14:paraId="32BA8BEC" w14:textId="7934D7D0" w:rsidR="00296E97" w:rsidRPr="00296E97" w:rsidRDefault="00296E97" w:rsidP="0037312C">
            <w:pPr>
              <w:spacing w:after="0" w:line="240" w:lineRule="auto"/>
              <w:rPr>
                <w:rFonts w:cs="Times New Roman"/>
              </w:rPr>
            </w:pPr>
            <w:r w:rsidRPr="00296E97">
              <w:rPr>
                <w:rFonts w:cs="Times New Roman"/>
              </w:rPr>
              <w:t>77</w:t>
            </w:r>
            <w:r w:rsidR="00F63933">
              <w:rPr>
                <w:rFonts w:cs="Times New Roman"/>
              </w:rPr>
              <w:t xml:space="preserve"> mg/L</w:t>
            </w:r>
          </w:p>
          <w:p w14:paraId="3996B527" w14:textId="77777777" w:rsidR="00296E97" w:rsidRPr="00296E97" w:rsidRDefault="00296E97" w:rsidP="0037312C">
            <w:pPr>
              <w:spacing w:after="0" w:line="240" w:lineRule="auto"/>
              <w:rPr>
                <w:rFonts w:cs="Times New Roman"/>
              </w:rPr>
            </w:pPr>
            <w:r w:rsidRPr="00296E97">
              <w:rPr>
                <w:rFonts w:cs="Times New Roman"/>
              </w:rPr>
              <w:t>( 51-151)</w:t>
            </w:r>
          </w:p>
        </w:tc>
        <w:tc>
          <w:tcPr>
            <w:tcW w:w="1208" w:type="dxa"/>
            <w:tcMar>
              <w:left w:w="29" w:type="dxa"/>
              <w:right w:w="29" w:type="dxa"/>
            </w:tcMar>
            <w:vAlign w:val="center"/>
          </w:tcPr>
          <w:p w14:paraId="65B05988" w14:textId="77777777" w:rsidR="00296E97" w:rsidRPr="00296E97" w:rsidRDefault="00296E97" w:rsidP="0037312C">
            <w:pPr>
              <w:spacing w:after="0" w:line="240" w:lineRule="auto"/>
              <w:rPr>
                <w:rFonts w:cs="Times New Roman"/>
              </w:rPr>
            </w:pPr>
            <w:r w:rsidRPr="00296E97">
              <w:rPr>
                <w:rFonts w:cs="Times New Roman"/>
              </w:rPr>
              <w:t>47540309</w:t>
            </w:r>
          </w:p>
        </w:tc>
      </w:tr>
      <w:tr w:rsidR="00296E97" w:rsidRPr="00296E97" w14:paraId="215D956C" w14:textId="77777777" w:rsidTr="0037312C">
        <w:trPr>
          <w:cantSplit/>
        </w:trPr>
        <w:tc>
          <w:tcPr>
            <w:tcW w:w="2549" w:type="dxa"/>
            <w:tcMar>
              <w:left w:w="29" w:type="dxa"/>
              <w:right w:w="29" w:type="dxa"/>
            </w:tcMar>
            <w:vAlign w:val="center"/>
          </w:tcPr>
          <w:p w14:paraId="5540B09E" w14:textId="77777777" w:rsidR="00296E97" w:rsidRPr="00296E97" w:rsidRDefault="00296E97" w:rsidP="0037312C">
            <w:pPr>
              <w:spacing w:after="0" w:line="240" w:lineRule="auto"/>
              <w:rPr>
                <w:rFonts w:cs="Times New Roman"/>
              </w:rPr>
            </w:pPr>
            <w:r>
              <w:rPr>
                <w:rFonts w:cs="Times New Roman"/>
              </w:rPr>
              <w:t>Waterflea (</w:t>
            </w:r>
            <w:r w:rsidRPr="00296E97">
              <w:rPr>
                <w:rFonts w:cs="Times New Roman"/>
                <w:i/>
              </w:rPr>
              <w:t>D. magna</w:t>
            </w:r>
            <w:r>
              <w:rPr>
                <w:rFonts w:cs="Times New Roman"/>
              </w:rPr>
              <w:t>)</w:t>
            </w:r>
          </w:p>
        </w:tc>
        <w:tc>
          <w:tcPr>
            <w:tcW w:w="720" w:type="dxa"/>
            <w:tcMar>
              <w:left w:w="29" w:type="dxa"/>
              <w:right w:w="29" w:type="dxa"/>
            </w:tcMar>
            <w:vAlign w:val="center"/>
          </w:tcPr>
          <w:p w14:paraId="2DC485B3" w14:textId="77777777" w:rsidR="00296E97" w:rsidRPr="00296E97" w:rsidRDefault="00296E97" w:rsidP="0037312C">
            <w:pPr>
              <w:spacing w:after="0" w:line="240" w:lineRule="auto"/>
              <w:rPr>
                <w:rFonts w:cs="Times New Roman"/>
              </w:rPr>
            </w:pPr>
            <w:r w:rsidRPr="00296E97">
              <w:rPr>
                <w:rFonts w:cs="Times New Roman"/>
              </w:rPr>
              <w:t>92.2</w:t>
            </w:r>
          </w:p>
        </w:tc>
        <w:tc>
          <w:tcPr>
            <w:tcW w:w="1260" w:type="dxa"/>
            <w:vAlign w:val="center"/>
          </w:tcPr>
          <w:p w14:paraId="6749F7DF" w14:textId="6F6A23C6" w:rsidR="00296E97" w:rsidRPr="00296E97" w:rsidRDefault="00296E97" w:rsidP="0037312C">
            <w:pPr>
              <w:spacing w:after="0" w:line="240" w:lineRule="auto"/>
              <w:rPr>
                <w:rFonts w:cs="Times New Roman"/>
              </w:rPr>
            </w:pPr>
            <w:r w:rsidRPr="00296E97">
              <w:rPr>
                <w:rFonts w:cs="Times New Roman"/>
              </w:rPr>
              <w:t>48</w:t>
            </w:r>
            <w:r w:rsidR="00F63933">
              <w:rPr>
                <w:rFonts w:cs="Times New Roman"/>
              </w:rPr>
              <w:t xml:space="preserve"> hr</w:t>
            </w:r>
          </w:p>
        </w:tc>
        <w:tc>
          <w:tcPr>
            <w:tcW w:w="1878" w:type="dxa"/>
            <w:tcMar>
              <w:left w:w="29" w:type="dxa"/>
              <w:right w:w="29" w:type="dxa"/>
            </w:tcMar>
            <w:vAlign w:val="center"/>
          </w:tcPr>
          <w:p w14:paraId="1BB709AB" w14:textId="7B4840FE" w:rsidR="00296E97" w:rsidRPr="00296E97" w:rsidRDefault="00296E97" w:rsidP="0037312C">
            <w:pPr>
              <w:spacing w:after="0" w:line="240" w:lineRule="auto"/>
              <w:rPr>
                <w:rFonts w:cs="Times New Roman"/>
              </w:rPr>
            </w:pPr>
            <w:r w:rsidRPr="00296E97">
              <w:rPr>
                <w:rFonts w:cs="Times New Roman"/>
              </w:rPr>
              <w:t>3.1</w:t>
            </w:r>
            <w:r w:rsidR="00F63933">
              <w:rPr>
                <w:rFonts w:cs="Times New Roman"/>
              </w:rPr>
              <w:t xml:space="preserve"> mg/L</w:t>
            </w:r>
          </w:p>
          <w:p w14:paraId="57FAAEED" w14:textId="77777777" w:rsidR="00296E97" w:rsidRPr="00296E97" w:rsidRDefault="00296E97" w:rsidP="0037312C">
            <w:pPr>
              <w:spacing w:after="0" w:line="240" w:lineRule="auto"/>
              <w:rPr>
                <w:rFonts w:cs="Times New Roman"/>
              </w:rPr>
            </w:pPr>
            <w:r w:rsidRPr="00296E97">
              <w:rPr>
                <w:rFonts w:cs="Times New Roman"/>
              </w:rPr>
              <w:t>(1.7 - 7.0)</w:t>
            </w:r>
          </w:p>
        </w:tc>
        <w:tc>
          <w:tcPr>
            <w:tcW w:w="1208" w:type="dxa"/>
            <w:tcMar>
              <w:left w:w="29" w:type="dxa"/>
              <w:right w:w="29" w:type="dxa"/>
            </w:tcMar>
            <w:vAlign w:val="center"/>
          </w:tcPr>
          <w:p w14:paraId="471590B7" w14:textId="77777777" w:rsidR="00296E97" w:rsidRPr="00296E97" w:rsidRDefault="00296E97" w:rsidP="0037312C">
            <w:pPr>
              <w:spacing w:after="0" w:line="240" w:lineRule="auto"/>
              <w:rPr>
                <w:rFonts w:cs="Times New Roman"/>
              </w:rPr>
            </w:pPr>
            <w:r w:rsidRPr="00296E97">
              <w:rPr>
                <w:rFonts w:cs="Times New Roman"/>
              </w:rPr>
              <w:t>47540310</w:t>
            </w:r>
          </w:p>
        </w:tc>
      </w:tr>
      <w:tr w:rsidR="00296E97" w:rsidRPr="00296E97" w14:paraId="23BA5467" w14:textId="77777777" w:rsidTr="0037312C">
        <w:trPr>
          <w:cantSplit/>
        </w:trPr>
        <w:tc>
          <w:tcPr>
            <w:tcW w:w="2549" w:type="dxa"/>
            <w:tcMar>
              <w:left w:w="29" w:type="dxa"/>
              <w:right w:w="29" w:type="dxa"/>
            </w:tcMar>
            <w:vAlign w:val="center"/>
          </w:tcPr>
          <w:p w14:paraId="1E3A1B04" w14:textId="1DF248FC" w:rsidR="00296E97" w:rsidRPr="00296E97" w:rsidRDefault="00F63933" w:rsidP="0037312C">
            <w:pPr>
              <w:spacing w:after="0" w:line="240" w:lineRule="auto"/>
              <w:rPr>
                <w:rFonts w:cs="Times New Roman"/>
              </w:rPr>
            </w:pPr>
            <w:r>
              <w:rPr>
                <w:rFonts w:cs="Times New Roman"/>
              </w:rPr>
              <w:t>Rat</w:t>
            </w:r>
          </w:p>
        </w:tc>
        <w:tc>
          <w:tcPr>
            <w:tcW w:w="720" w:type="dxa"/>
            <w:tcMar>
              <w:left w:w="29" w:type="dxa"/>
              <w:right w:w="29" w:type="dxa"/>
            </w:tcMar>
            <w:vAlign w:val="center"/>
          </w:tcPr>
          <w:p w14:paraId="362B2692" w14:textId="72E6B6FF" w:rsidR="00296E97" w:rsidRPr="00296E97" w:rsidRDefault="00F63933" w:rsidP="0037312C">
            <w:pPr>
              <w:spacing w:after="0" w:line="240" w:lineRule="auto"/>
              <w:rPr>
                <w:rFonts w:cs="Times New Roman"/>
              </w:rPr>
            </w:pPr>
            <w:r>
              <w:rPr>
                <w:rFonts w:cs="Times New Roman"/>
              </w:rPr>
              <w:t>92</w:t>
            </w:r>
          </w:p>
        </w:tc>
        <w:tc>
          <w:tcPr>
            <w:tcW w:w="1260" w:type="dxa"/>
            <w:vAlign w:val="center"/>
          </w:tcPr>
          <w:p w14:paraId="307378C5" w14:textId="18075178" w:rsidR="00296E97" w:rsidRPr="00296E97" w:rsidRDefault="00F63933" w:rsidP="0037312C">
            <w:pPr>
              <w:spacing w:after="0" w:line="240" w:lineRule="auto"/>
              <w:rPr>
                <w:rFonts w:cs="Times New Roman"/>
              </w:rPr>
            </w:pPr>
            <w:r>
              <w:rPr>
                <w:rFonts w:cs="Times New Roman"/>
              </w:rPr>
              <w:t>14-day</w:t>
            </w:r>
          </w:p>
        </w:tc>
        <w:tc>
          <w:tcPr>
            <w:tcW w:w="1878" w:type="dxa"/>
            <w:tcMar>
              <w:left w:w="29" w:type="dxa"/>
              <w:right w:w="29" w:type="dxa"/>
            </w:tcMar>
            <w:vAlign w:val="center"/>
          </w:tcPr>
          <w:p w14:paraId="58ECED37" w14:textId="55EB6082" w:rsidR="00296E97" w:rsidRPr="00296E97" w:rsidRDefault="00F63933" w:rsidP="0037312C">
            <w:pPr>
              <w:spacing w:after="0" w:line="240" w:lineRule="auto"/>
              <w:rPr>
                <w:rFonts w:cs="Times New Roman"/>
              </w:rPr>
            </w:pPr>
            <w:r>
              <w:rPr>
                <w:rFonts w:cs="Times New Roman"/>
              </w:rPr>
              <w:t>&gt;2000 mg/kg/bw</w:t>
            </w:r>
          </w:p>
        </w:tc>
        <w:tc>
          <w:tcPr>
            <w:tcW w:w="1208" w:type="dxa"/>
            <w:tcMar>
              <w:left w:w="29" w:type="dxa"/>
              <w:right w:w="29" w:type="dxa"/>
            </w:tcMar>
            <w:vAlign w:val="center"/>
          </w:tcPr>
          <w:p w14:paraId="1455340B" w14:textId="41E2458D" w:rsidR="00296E97" w:rsidRPr="00296E97" w:rsidRDefault="00F63933" w:rsidP="0037312C">
            <w:pPr>
              <w:spacing w:after="0" w:line="240" w:lineRule="auto"/>
              <w:rPr>
                <w:rFonts w:cs="Times New Roman"/>
              </w:rPr>
            </w:pPr>
            <w:r>
              <w:rPr>
                <w:rFonts w:cs="Times New Roman"/>
              </w:rPr>
              <w:t>49252804</w:t>
            </w:r>
          </w:p>
        </w:tc>
      </w:tr>
    </w:tbl>
    <w:p w14:paraId="11F8D6D6" w14:textId="7683AD6E" w:rsidR="00865A49" w:rsidRPr="00132F83" w:rsidRDefault="00865A49">
      <w:pPr>
        <w:rPr>
          <w:rFonts w:cs="Times New Roman"/>
          <w:b/>
        </w:rPr>
      </w:pPr>
      <w:r w:rsidRPr="00132F83">
        <w:rPr>
          <w:rFonts w:cs="Times New Roman"/>
          <w:b/>
        </w:rPr>
        <w:br w:type="page"/>
      </w:r>
    </w:p>
    <w:p w14:paraId="30DD2D53" w14:textId="77777777" w:rsidR="00210F0F" w:rsidRPr="00132F83" w:rsidRDefault="00210F0F" w:rsidP="00865A49">
      <w:pPr>
        <w:spacing w:after="0" w:line="240" w:lineRule="auto"/>
        <w:rPr>
          <w:rFonts w:cs="Times New Roman"/>
          <w:b/>
        </w:rPr>
      </w:pPr>
    </w:p>
    <w:p w14:paraId="302083D3" w14:textId="68F45F5E" w:rsidR="00514E24" w:rsidRPr="00132F83" w:rsidRDefault="007B3EEB" w:rsidP="00865A49">
      <w:pPr>
        <w:spacing w:after="0" w:line="240" w:lineRule="auto"/>
        <w:rPr>
          <w:rFonts w:cs="Times New Roman"/>
          <w:b/>
        </w:rPr>
      </w:pPr>
      <w:r w:rsidRPr="00132F83">
        <w:rPr>
          <w:rFonts w:cs="Times New Roman"/>
          <w:b/>
        </w:rPr>
        <w:t>Mechanism of</w:t>
      </w:r>
      <w:r w:rsidR="00A11582" w:rsidRPr="00132F83">
        <w:rPr>
          <w:rFonts w:cs="Times New Roman"/>
          <w:b/>
        </w:rPr>
        <w:t xml:space="preserve"> Oxon</w:t>
      </w:r>
      <w:r w:rsidRPr="00132F83">
        <w:rPr>
          <w:rFonts w:cs="Times New Roman"/>
          <w:b/>
        </w:rPr>
        <w:t xml:space="preserve"> </w:t>
      </w:r>
      <w:r w:rsidR="00A11582" w:rsidRPr="00132F83">
        <w:rPr>
          <w:rFonts w:cs="Times New Roman"/>
          <w:b/>
        </w:rPr>
        <w:t>Formation</w:t>
      </w:r>
    </w:p>
    <w:p w14:paraId="601D6C68" w14:textId="77777777" w:rsidR="00A11582" w:rsidRPr="00132F83" w:rsidRDefault="00A11582" w:rsidP="00865A49">
      <w:pPr>
        <w:spacing w:after="0" w:line="240" w:lineRule="auto"/>
        <w:rPr>
          <w:rFonts w:cs="Times New Roman"/>
        </w:rPr>
      </w:pPr>
    </w:p>
    <w:p w14:paraId="63D4BE33" w14:textId="40131865" w:rsidR="00A11582" w:rsidRPr="00132F83" w:rsidRDefault="00A9403F" w:rsidP="00865A49">
      <w:pPr>
        <w:spacing w:after="0" w:line="240" w:lineRule="auto"/>
        <w:rPr>
          <w:rFonts w:cs="Times New Roman"/>
        </w:rPr>
      </w:pPr>
      <w:r w:rsidRPr="00132F83">
        <w:rPr>
          <w:rFonts w:cs="Times New Roman"/>
        </w:rPr>
        <w:t>The chem</w:t>
      </w:r>
      <w:r w:rsidR="008C12C1" w:rsidRPr="00132F83">
        <w:rPr>
          <w:rFonts w:cs="Times New Roman"/>
        </w:rPr>
        <w:t>ical transformation process of OP</w:t>
      </w:r>
      <w:r w:rsidRPr="00132F83">
        <w:rPr>
          <w:rFonts w:cs="Times New Roman"/>
        </w:rPr>
        <w:t xml:space="preserve">s involves the substitution of the sulfur atom in the P–S bond of the organophosphate pesticide with an oxygen atom.  While several studies have been conducted that indicate that </w:t>
      </w:r>
      <w:r w:rsidR="008C12C1" w:rsidRPr="00132F83">
        <w:rPr>
          <w:rFonts w:cs="Times New Roman"/>
        </w:rPr>
        <w:t>OP</w:t>
      </w:r>
      <w:r w:rsidRPr="00132F83">
        <w:rPr>
          <w:rFonts w:cs="Times New Roman"/>
        </w:rPr>
        <w:t xml:space="preserve"> and organodithiophosphate chemicals that have sulfur double bonds to the central phosphorus atom generally form oxons during chemical disinfection by chlorine compounds (Magara et al., 1994, Duirk and Collette, 2006; Wu and Laird, 2003), much less information is available on how the oxons f</w:t>
      </w:r>
      <w:r w:rsidR="00CE5A87" w:rsidRPr="00132F83">
        <w:rPr>
          <w:rFonts w:cs="Times New Roman"/>
        </w:rPr>
        <w:t xml:space="preserve">orm in the natural environment.  </w:t>
      </w:r>
      <w:r w:rsidR="005600DF" w:rsidRPr="00132F83">
        <w:rPr>
          <w:rFonts w:cs="Times New Roman"/>
        </w:rPr>
        <w:t>The transformation occur</w:t>
      </w:r>
      <w:r w:rsidR="003E5ED1" w:rsidRPr="00132F83">
        <w:rPr>
          <w:rFonts w:cs="Times New Roman"/>
        </w:rPr>
        <w:t>s</w:t>
      </w:r>
      <w:r w:rsidR="005600DF" w:rsidRPr="00132F83">
        <w:rPr>
          <w:rFonts w:cs="Times New Roman"/>
        </w:rPr>
        <w:t xml:space="preserve"> via oxidative desulfonation, which could potentially occur through photolysis and aerobic metabolism, as well as other oxidative processes</w:t>
      </w:r>
      <w:r w:rsidR="00023F86" w:rsidRPr="00132F83">
        <w:rPr>
          <w:rFonts w:cs="Times New Roman"/>
        </w:rPr>
        <w:t xml:space="preserve"> (</w:t>
      </w:r>
      <w:r w:rsidR="008E2DAF" w:rsidRPr="00D822E3">
        <w:rPr>
          <w:rFonts w:cs="Times New Roman"/>
          <w:i/>
        </w:rPr>
        <w:t>e.g.,</w:t>
      </w:r>
      <w:r w:rsidR="008E2DAF" w:rsidRPr="00132F83">
        <w:rPr>
          <w:rFonts w:cs="Times New Roman"/>
        </w:rPr>
        <w:t xml:space="preserve"> </w:t>
      </w:r>
      <w:r w:rsidR="00023F86" w:rsidRPr="00132F83">
        <w:rPr>
          <w:rFonts w:cs="Times New Roman"/>
        </w:rPr>
        <w:t>reaction with hydroxyl radicals and ozone)</w:t>
      </w:r>
      <w:r w:rsidR="005600DF" w:rsidRPr="00132F83">
        <w:rPr>
          <w:rFonts w:cs="Times New Roman"/>
        </w:rPr>
        <w:t xml:space="preserve">.   </w:t>
      </w:r>
    </w:p>
    <w:p w14:paraId="355B4499" w14:textId="77777777" w:rsidR="00A11582" w:rsidRPr="00132F83" w:rsidRDefault="00A11582" w:rsidP="00865A49">
      <w:pPr>
        <w:spacing w:after="0" w:line="240" w:lineRule="auto"/>
        <w:rPr>
          <w:rFonts w:cs="Times New Roman"/>
        </w:rPr>
      </w:pPr>
    </w:p>
    <w:p w14:paraId="6A6DF1BE" w14:textId="1C15D66C" w:rsidR="00CE5A87" w:rsidRPr="00132F83" w:rsidRDefault="00CE5A87" w:rsidP="00865A49">
      <w:pPr>
        <w:spacing w:after="0" w:line="240" w:lineRule="auto"/>
        <w:rPr>
          <w:rFonts w:cs="Times New Roman"/>
        </w:rPr>
      </w:pPr>
      <w:r w:rsidRPr="00132F83">
        <w:rPr>
          <w:rFonts w:cs="Times New Roman"/>
        </w:rPr>
        <w:t>A number of studies have documented atmospheric transport and deposition of pesticides</w:t>
      </w:r>
      <w:r w:rsidR="007074AB" w:rsidRPr="00132F83">
        <w:rPr>
          <w:rFonts w:cs="Times New Roman"/>
        </w:rPr>
        <w:t xml:space="preserve"> apparently</w:t>
      </w:r>
      <w:r w:rsidRPr="00132F83">
        <w:rPr>
          <w:rFonts w:cs="Times New Roman"/>
        </w:rPr>
        <w:t xml:space="preserve"> from the Central Valley to the Sierra Nevada Mountains (Fellers </w:t>
      </w:r>
      <w:r w:rsidRPr="00132F83">
        <w:rPr>
          <w:rFonts w:cs="Times New Roman"/>
          <w:i/>
        </w:rPr>
        <w:t>et al</w:t>
      </w:r>
      <w:r w:rsidRPr="00132F83">
        <w:rPr>
          <w:rFonts w:cs="Times New Roman"/>
        </w:rPr>
        <w:t xml:space="preserve">., 2004, Sparling </w:t>
      </w:r>
      <w:r w:rsidRPr="00132F83">
        <w:rPr>
          <w:rFonts w:cs="Times New Roman"/>
          <w:i/>
        </w:rPr>
        <w:t>et al</w:t>
      </w:r>
      <w:r w:rsidRPr="00132F83">
        <w:rPr>
          <w:rFonts w:cs="Times New Roman"/>
        </w:rPr>
        <w:t xml:space="preserve">., 2001, LeNoir </w:t>
      </w:r>
      <w:r w:rsidRPr="00132F83">
        <w:rPr>
          <w:rFonts w:cs="Times New Roman"/>
          <w:i/>
        </w:rPr>
        <w:t>et al</w:t>
      </w:r>
      <w:r w:rsidRPr="00132F83">
        <w:rPr>
          <w:rFonts w:cs="Times New Roman"/>
        </w:rPr>
        <w:t xml:space="preserve">., 1999, and McConnell et al., 1998).  Prevailing winds blow across the Central Valley eastward to the Sierra Nevada Mountains, transporting airborne industrial and agricultural pollutants into Sierra Nevada ecosystems (Fellers </w:t>
      </w:r>
      <w:r w:rsidRPr="00132F83">
        <w:rPr>
          <w:rFonts w:cs="Times New Roman"/>
          <w:i/>
        </w:rPr>
        <w:t>et al.</w:t>
      </w:r>
      <w:r w:rsidRPr="00132F83">
        <w:rPr>
          <w:rFonts w:cs="Times New Roman"/>
        </w:rPr>
        <w:t xml:space="preserve">, 2004, LeNoir </w:t>
      </w:r>
      <w:r w:rsidRPr="00132F83">
        <w:rPr>
          <w:rFonts w:cs="Times New Roman"/>
          <w:i/>
        </w:rPr>
        <w:t>et al</w:t>
      </w:r>
      <w:r w:rsidRPr="00132F83">
        <w:rPr>
          <w:rFonts w:cs="Times New Roman"/>
        </w:rPr>
        <w:t xml:space="preserve">., 1999, and McConnell </w:t>
      </w:r>
      <w:r w:rsidRPr="00132F83">
        <w:rPr>
          <w:rFonts w:cs="Times New Roman"/>
          <w:i/>
        </w:rPr>
        <w:t>et al</w:t>
      </w:r>
      <w:r w:rsidRPr="00132F83">
        <w:rPr>
          <w:rFonts w:cs="Times New Roman"/>
        </w:rPr>
        <w:t>., 1998).</w:t>
      </w:r>
      <w:r w:rsidR="006C71AE" w:rsidRPr="00132F83">
        <w:rPr>
          <w:rFonts w:cs="Times New Roman"/>
        </w:rPr>
        <w:t xml:space="preserve">  Available literature has also document</w:t>
      </w:r>
      <w:r w:rsidR="008E2DAF" w:rsidRPr="00132F83">
        <w:rPr>
          <w:rFonts w:cs="Times New Roman"/>
        </w:rPr>
        <w:t>ed</w:t>
      </w:r>
      <w:r w:rsidR="006C71AE" w:rsidRPr="00132F83">
        <w:rPr>
          <w:rFonts w:cs="Times New Roman"/>
        </w:rPr>
        <w:t xml:space="preserve"> oxon detections in air, rain, fog </w:t>
      </w:r>
      <w:r w:rsidR="006C71AE" w:rsidRPr="00132F83">
        <w:rPr>
          <w:rFonts w:cs="Times New Roman"/>
        </w:rPr>
        <w:fldChar w:fldCharType="begin"/>
      </w:r>
      <w:r w:rsidR="006C71AE" w:rsidRPr="00132F83">
        <w:rPr>
          <w:rFonts w:cs="Times New Roman"/>
        </w:rPr>
        <w:instrText xml:space="preserve"> ADDIN EN.CITE &lt;EndNote&gt;&lt;Cite&gt;&lt;Author&gt;Majewski&lt;/Author&gt;&lt;Year&gt;1995&lt;/Year&gt;&lt;RecNum&gt;1008&lt;/RecNum&gt;&lt;DisplayText&gt;&lt;style font="Times New Roman" size="12"&gt;(Majewski and Capel, 1995)&lt;/style&gt;&lt;/DisplayText&gt;&lt;record&gt;&lt;rec-number&gt;1008&lt;/rec-number&gt;&lt;foreign-keys&gt;&lt;key app="EN" db-id="s0xer2w2o0xwx3e0a0tx0sz3zradttw529er" timestamp="1402666775"&gt;1008&lt;/key&gt;&lt;/foreign-keys&gt;&lt;ref-type name="Book"&gt;6&lt;/ref-type&gt;&lt;contributors&gt;&lt;authors&gt;&lt;author&gt;Majewski, M.S.&lt;/author&gt;&lt;author&gt;Capel, P.D.&lt;/author&gt;&lt;/authors&gt;&lt;/contributors&gt;&lt;titles&gt;&lt;title&gt;Pesticides in the Atmosphere:  Distribution, Trends, and Governing Factors&lt;/title&gt;&lt;/titles&gt;&lt;dates&gt;&lt;year&gt;1995&lt;/year&gt;&lt;/dates&gt;&lt;pub-location&gt;Chelsea, MI&lt;/pub-location&gt;&lt;publisher&gt;Ann Arbor Press&lt;/publisher&gt;&lt;urls&gt;&lt;/urls&gt;&lt;/record&gt;&lt;/Cite&gt;&lt;/EndNote&gt;</w:instrText>
      </w:r>
      <w:r w:rsidR="006C71AE" w:rsidRPr="00132F83">
        <w:rPr>
          <w:rFonts w:cs="Times New Roman"/>
        </w:rPr>
        <w:fldChar w:fldCharType="separate"/>
      </w:r>
      <w:r w:rsidR="006C71AE" w:rsidRPr="00132F83">
        <w:rPr>
          <w:rFonts w:cs="Times New Roman"/>
          <w:noProof/>
        </w:rPr>
        <w:t>(Majewski and Capel, 1995)</w:t>
      </w:r>
      <w:r w:rsidR="006C71AE" w:rsidRPr="00132F83">
        <w:rPr>
          <w:rFonts w:cs="Times New Roman"/>
        </w:rPr>
        <w:fldChar w:fldCharType="end"/>
      </w:r>
      <w:r w:rsidR="006C71AE" w:rsidRPr="00132F83">
        <w:rPr>
          <w:rFonts w:cs="Times New Roman"/>
        </w:rPr>
        <w:t xml:space="preserve"> and surface waters in the United States </w:t>
      </w:r>
      <w:r w:rsidR="006C71AE" w:rsidRPr="00132F83">
        <w:rPr>
          <w:rFonts w:cs="Times New Roman"/>
        </w:rPr>
        <w:fldChar w:fldCharType="begin"/>
      </w:r>
      <w:r w:rsidR="006C71AE" w:rsidRPr="00132F83">
        <w:rPr>
          <w:rFonts w:cs="Times New Roman"/>
        </w:rPr>
        <w:instrText xml:space="preserve"> ADDIN EN.CITE &lt;EndNote&gt;&lt;Cite&gt;&lt;Author&gt;USGS&lt;/Author&gt;&lt;Year&gt;2011&lt;/Year&gt;&lt;RecNum&gt;1009&lt;/RecNum&gt;&lt;DisplayText&gt;&lt;style font="Times New Roman" size="12"&gt;(USGS, 2011)&lt;/style&gt;&lt;/DisplayText&gt;&lt;record&gt;&lt;rec-number&gt;1009&lt;/rec-number&gt;&lt;foreign-keys&gt;&lt;key app="EN" db-id="s0xer2w2o0xwx3e0a0tx0sz3zradttw529er" timestamp="1402666775"&gt;1009&lt;/key&gt;&lt;/foreign-keys&gt;&lt;ref-type name="EPA Document"&gt;51&lt;/ref-type&gt;&lt;contributors&gt;&lt;authors&gt;&lt;author&gt;USGS&lt;/author&gt;&lt;/authors&gt;&lt;secondary-authors&gt;&lt;author&gt;Scientific Investigation Report 2010-5139,&lt;/author&gt;&lt;/secondary-authors&gt;&lt;/contributors&gt;&lt;titles&gt;&lt;title&gt;Trends in Pesticide Concentrations in Urban Streams in the United States, 1992-2008&lt;/title&gt;&lt;tertiary-title&gt;National Water Quality Assessment Program. United States Geological Survey. United States Department of the Interior.&lt;/tertiary-title&gt;&lt;/titles&gt;&lt;dates&gt;&lt;year&gt;2011&lt;/year&gt;&lt;/dates&gt;&lt;urls&gt;&lt;related-urls&gt;&lt;url&gt;http://pubs.usgs.gov/sir/2010/5139/pdf/sir2010-5139.pdf&lt;/url&gt;&lt;/related-urls&gt;&lt;/urls&gt;&lt;access-date&gt;February 2, 2012&lt;/access-date&gt;&lt;/record&gt;&lt;/Cite&gt;&lt;/EndNote&gt;</w:instrText>
      </w:r>
      <w:r w:rsidR="006C71AE" w:rsidRPr="00132F83">
        <w:rPr>
          <w:rFonts w:cs="Times New Roman"/>
        </w:rPr>
        <w:fldChar w:fldCharType="separate"/>
      </w:r>
      <w:r w:rsidR="006C71AE" w:rsidRPr="00132F83">
        <w:rPr>
          <w:rFonts w:cs="Times New Roman"/>
          <w:noProof/>
        </w:rPr>
        <w:t>(USGS, 2011)</w:t>
      </w:r>
      <w:r w:rsidR="006C71AE" w:rsidRPr="00132F83">
        <w:rPr>
          <w:rFonts w:cs="Times New Roman"/>
        </w:rPr>
        <w:fldChar w:fldCharType="end"/>
      </w:r>
      <w:r w:rsidR="006C71AE" w:rsidRPr="00132F83">
        <w:rPr>
          <w:rFonts w:cs="Times New Roman"/>
        </w:rPr>
        <w:t xml:space="preserve">.  </w:t>
      </w:r>
      <w:r w:rsidR="00CC00E3" w:rsidRPr="00132F83">
        <w:rPr>
          <w:rFonts w:cs="Times New Roman"/>
        </w:rPr>
        <w:t>Although the</w:t>
      </w:r>
      <w:r w:rsidR="00A44915" w:rsidRPr="00132F83">
        <w:rPr>
          <w:rFonts w:cs="Times New Roman"/>
        </w:rPr>
        <w:t>se studies provide evidence that the</w:t>
      </w:r>
      <w:r w:rsidR="00CC00E3" w:rsidRPr="00132F83">
        <w:rPr>
          <w:rFonts w:cs="Times New Roman"/>
        </w:rPr>
        <w:t xml:space="preserve"> oxon </w:t>
      </w:r>
      <w:r w:rsidR="00861C0D" w:rsidRPr="00132F83">
        <w:rPr>
          <w:rFonts w:cs="Times New Roman"/>
        </w:rPr>
        <w:t>is present</w:t>
      </w:r>
      <w:r w:rsidR="00A44915" w:rsidRPr="00132F83">
        <w:rPr>
          <w:rFonts w:cs="Times New Roman"/>
        </w:rPr>
        <w:t xml:space="preserve"> in the environment</w:t>
      </w:r>
      <w:r w:rsidR="00CC00E3" w:rsidRPr="00132F83">
        <w:rPr>
          <w:rFonts w:cs="Times New Roman"/>
        </w:rPr>
        <w:t>, these studies do not provide sufficient, consistent information on the levels of the oxon degradate relative to the parent</w:t>
      </w:r>
      <w:r w:rsidR="00BF764F" w:rsidRPr="00132F83">
        <w:rPr>
          <w:rFonts w:cs="Times New Roman"/>
        </w:rPr>
        <w:t>, nor what</w:t>
      </w:r>
      <w:r w:rsidR="00CC00E3" w:rsidRPr="00132F83">
        <w:rPr>
          <w:rFonts w:cs="Times New Roman"/>
        </w:rPr>
        <w:t xml:space="preserve"> conditions favor the oxon formation and/or persistence in the environment.  </w:t>
      </w:r>
      <w:r w:rsidR="00BF764F" w:rsidRPr="00132F83">
        <w:rPr>
          <w:rFonts w:cs="Times New Roman"/>
        </w:rPr>
        <w:t>A</w:t>
      </w:r>
      <w:r w:rsidR="00CC00E3" w:rsidRPr="00132F83">
        <w:rPr>
          <w:rFonts w:cs="Times New Roman"/>
        </w:rPr>
        <w:t>s a result the actual transport pathway</w:t>
      </w:r>
      <w:r w:rsidR="007074AB" w:rsidRPr="00132F83">
        <w:rPr>
          <w:rFonts w:cs="Times New Roman"/>
        </w:rPr>
        <w:t>(s)</w:t>
      </w:r>
      <w:r w:rsidR="00CC00E3" w:rsidRPr="00132F83">
        <w:rPr>
          <w:rFonts w:cs="Times New Roman"/>
        </w:rPr>
        <w:t xml:space="preserve"> of</w:t>
      </w:r>
      <w:r w:rsidR="006C71AE" w:rsidRPr="00132F83">
        <w:rPr>
          <w:rFonts w:cs="Times New Roman"/>
        </w:rPr>
        <w:t xml:space="preserve"> the oxon </w:t>
      </w:r>
      <w:r w:rsidR="007074AB" w:rsidRPr="00132F83">
        <w:rPr>
          <w:rFonts w:cs="Times New Roman"/>
        </w:rPr>
        <w:t xml:space="preserve">are unclear </w:t>
      </w:r>
      <w:r w:rsidR="00CC00E3" w:rsidRPr="00132F83">
        <w:rPr>
          <w:rFonts w:cs="Times New Roman"/>
        </w:rPr>
        <w:t>(</w:t>
      </w:r>
      <w:r w:rsidR="00CC00E3" w:rsidRPr="00132F83">
        <w:rPr>
          <w:rFonts w:cs="Times New Roman"/>
          <w:i/>
        </w:rPr>
        <w:t>e.g.</w:t>
      </w:r>
      <w:r w:rsidR="00CC00E3" w:rsidRPr="00132F83">
        <w:rPr>
          <w:rFonts w:cs="Times New Roman"/>
        </w:rPr>
        <w:t xml:space="preserve">, </w:t>
      </w:r>
      <w:r w:rsidR="006C71AE" w:rsidRPr="00132F83">
        <w:rPr>
          <w:rFonts w:cs="Times New Roman"/>
        </w:rPr>
        <w:t xml:space="preserve">is </w:t>
      </w:r>
      <w:r w:rsidR="00CC00E3" w:rsidRPr="00132F83">
        <w:rPr>
          <w:rFonts w:cs="Times New Roman"/>
        </w:rPr>
        <w:t xml:space="preserve">it </w:t>
      </w:r>
      <w:r w:rsidR="006C71AE" w:rsidRPr="00132F83">
        <w:rPr>
          <w:rFonts w:cs="Times New Roman"/>
        </w:rPr>
        <w:t>for</w:t>
      </w:r>
      <w:r w:rsidR="00CC00E3" w:rsidRPr="00132F83">
        <w:rPr>
          <w:rFonts w:cs="Times New Roman"/>
        </w:rPr>
        <w:t xml:space="preserve">med in the treated areas and </w:t>
      </w:r>
      <w:r w:rsidR="006C71AE" w:rsidRPr="00132F83">
        <w:rPr>
          <w:rFonts w:cs="Times New Roman"/>
        </w:rPr>
        <w:t>transported via volatilization</w:t>
      </w:r>
      <w:r w:rsidR="00CC00E3" w:rsidRPr="00132F83">
        <w:rPr>
          <w:rFonts w:cs="Times New Roman"/>
        </w:rPr>
        <w:t>/runoff</w:t>
      </w:r>
      <w:r w:rsidR="006C71AE" w:rsidRPr="00132F83">
        <w:rPr>
          <w:rFonts w:cs="Times New Roman"/>
        </w:rPr>
        <w:t xml:space="preserve"> to waterbodies, or </w:t>
      </w:r>
      <w:r w:rsidR="00CC00E3" w:rsidRPr="00132F83">
        <w:rPr>
          <w:rFonts w:cs="Times New Roman"/>
        </w:rPr>
        <w:t>does</w:t>
      </w:r>
      <w:r w:rsidR="006C71AE" w:rsidRPr="00132F83">
        <w:rPr>
          <w:rFonts w:cs="Times New Roman"/>
        </w:rPr>
        <w:t xml:space="preserve"> the parent compound volatilize and </w:t>
      </w:r>
      <w:r w:rsidR="00CC00E3" w:rsidRPr="00132F83">
        <w:rPr>
          <w:rFonts w:cs="Times New Roman"/>
        </w:rPr>
        <w:t>then transform to oxon</w:t>
      </w:r>
      <w:r w:rsidR="006C71AE" w:rsidRPr="00132F83">
        <w:rPr>
          <w:rFonts w:cs="Times New Roman"/>
        </w:rPr>
        <w:t xml:space="preserve"> in the atmosphere or at the receiving waterbody</w:t>
      </w:r>
      <w:r w:rsidR="00CC00E3" w:rsidRPr="00132F83">
        <w:rPr>
          <w:rFonts w:cs="Times New Roman"/>
        </w:rPr>
        <w:t>)</w:t>
      </w:r>
      <w:r w:rsidR="00BF764F" w:rsidRPr="00132F83">
        <w:rPr>
          <w:rFonts w:cs="Times New Roman"/>
        </w:rPr>
        <w:t xml:space="preserve"> and how environmental estimated concentrations of the oxon </w:t>
      </w:r>
      <w:r w:rsidR="007074AB" w:rsidRPr="00132F83">
        <w:rPr>
          <w:rFonts w:cs="Times New Roman"/>
        </w:rPr>
        <w:t xml:space="preserve">could best </w:t>
      </w:r>
      <w:r w:rsidR="00BF764F" w:rsidRPr="00132F83">
        <w:rPr>
          <w:rFonts w:cs="Times New Roman"/>
        </w:rPr>
        <w:t>be modeled</w:t>
      </w:r>
      <w:r w:rsidR="006C71AE" w:rsidRPr="00132F83">
        <w:rPr>
          <w:rFonts w:cs="Times New Roman"/>
        </w:rPr>
        <w:t>.</w:t>
      </w:r>
    </w:p>
    <w:p w14:paraId="09638012" w14:textId="77777777" w:rsidR="00A11582" w:rsidRPr="00132F83" w:rsidRDefault="00A11582" w:rsidP="00865A49">
      <w:pPr>
        <w:spacing w:after="0" w:line="240" w:lineRule="auto"/>
        <w:rPr>
          <w:rFonts w:cs="Times New Roman"/>
        </w:rPr>
      </w:pPr>
    </w:p>
    <w:p w14:paraId="0E563298" w14:textId="265CB43E" w:rsidR="00A56233" w:rsidRPr="00A56233" w:rsidRDefault="00A56233" w:rsidP="00A56233">
      <w:pPr>
        <w:spacing w:after="0" w:line="240" w:lineRule="auto"/>
        <w:rPr>
          <w:rFonts w:cs="Times New Roman"/>
        </w:rPr>
      </w:pPr>
      <w:r w:rsidRPr="00A56233">
        <w:rPr>
          <w:rFonts w:cs="Times New Roman"/>
        </w:rPr>
        <w:t>Malathion metabolizes readily in moist, microbially active soils.  However, if malathion is in contact with metabolically inactive surfaces such as dry soils or impervious surfaces common in non-agricultural settings, photo-oxidation to the toxic degradate malaoxon can occur.  Field data indicate that up to 10% of malathion can be transformed to malaoxon in these conditions</w:t>
      </w:r>
      <w:r w:rsidR="00860EC1">
        <w:rPr>
          <w:rFonts w:cs="Times New Roman"/>
        </w:rPr>
        <w:t xml:space="preserve"> (see </w:t>
      </w:r>
      <w:r w:rsidR="00860EC1" w:rsidRPr="00860EC1">
        <w:rPr>
          <w:rFonts w:cs="Times New Roman"/>
          <w:b/>
        </w:rPr>
        <w:t>APPENDIX 3-1</w:t>
      </w:r>
      <w:r w:rsidR="00860EC1">
        <w:rPr>
          <w:rFonts w:cs="Times New Roman"/>
        </w:rPr>
        <w:t>)</w:t>
      </w:r>
      <w:r w:rsidRPr="00A56233">
        <w:rPr>
          <w:rFonts w:cs="Times New Roman"/>
        </w:rPr>
        <w:t>.  Oxidation to malaoxon can also be catalyzed in the presence of chlorine.  To a much more limited degree than in chlorine catalyzed or photo-oxidation conditions, malathion can metabolize to malaoxon under other circumstances, but malaoxon is not a major degradate (</w:t>
      </w:r>
      <w:r w:rsidRPr="00A56233">
        <w:rPr>
          <w:rFonts w:cs="Times New Roman"/>
          <w:i/>
        </w:rPr>
        <w:t>i.e.</w:t>
      </w:r>
      <w:r w:rsidRPr="00A56233">
        <w:rPr>
          <w:rFonts w:cs="Times New Roman"/>
        </w:rPr>
        <w:t xml:space="preserve">, occurs at more than 10% of malathion applied in environmental fate studies) in that pathway.  Malaoxon dissipates and degrades similarly to malathion with rapid metabolism in aerobic conditions and rapid hydrolysis in alkaline conditions.  Therefore, short duration malaoxon concentration peaks (less than one day) may be expected in non-agricultural streams during run-off events.  Stream monitoring efforts associated with the discontinued Mediterranean Fruit Fly Eradication Program found malaoxon concentrations as high as 328 ppb.  NAWQA surface water monitoring detected malaoxon in 0.1% of samples for which it was tested with a peak detection of 0.2 ppb.  </w:t>
      </w:r>
    </w:p>
    <w:p w14:paraId="1BDFA5BF" w14:textId="77777777" w:rsidR="00A56233" w:rsidRPr="00A56233" w:rsidRDefault="00A56233" w:rsidP="00A56233">
      <w:pPr>
        <w:spacing w:after="0" w:line="240" w:lineRule="auto"/>
        <w:rPr>
          <w:rFonts w:cs="Times New Roman"/>
        </w:rPr>
      </w:pPr>
    </w:p>
    <w:p w14:paraId="68B1F65F" w14:textId="77777777" w:rsidR="00D822E3" w:rsidRPr="00132F83" w:rsidRDefault="00D822E3" w:rsidP="00865A49">
      <w:pPr>
        <w:spacing w:after="0" w:line="240" w:lineRule="auto"/>
        <w:rPr>
          <w:rFonts w:cs="Times New Roman"/>
          <w:b/>
        </w:rPr>
      </w:pPr>
    </w:p>
    <w:p w14:paraId="5CCD4820" w14:textId="6D30FA15" w:rsidR="00E315A5" w:rsidRPr="00132F83" w:rsidRDefault="00756863" w:rsidP="00865A49">
      <w:pPr>
        <w:spacing w:after="0" w:line="240" w:lineRule="auto"/>
        <w:rPr>
          <w:rFonts w:cs="Times New Roman"/>
          <w:b/>
        </w:rPr>
      </w:pPr>
      <w:r w:rsidRPr="00132F83">
        <w:rPr>
          <w:rFonts w:cs="Times New Roman"/>
          <w:b/>
        </w:rPr>
        <w:t xml:space="preserve">Potential Effects of </w:t>
      </w:r>
      <w:r w:rsidR="002066F3">
        <w:rPr>
          <w:rFonts w:cs="Times New Roman"/>
          <w:b/>
        </w:rPr>
        <w:t>Malaoxon</w:t>
      </w:r>
    </w:p>
    <w:p w14:paraId="4A54CFC9" w14:textId="77777777" w:rsidR="00E315A5" w:rsidRPr="00132F83" w:rsidRDefault="00E315A5" w:rsidP="00865A49">
      <w:pPr>
        <w:spacing w:after="0" w:line="240" w:lineRule="auto"/>
        <w:rPr>
          <w:rFonts w:cs="Times New Roman"/>
        </w:rPr>
      </w:pPr>
    </w:p>
    <w:p w14:paraId="2F661FD9" w14:textId="20D009A5" w:rsidR="0015490B" w:rsidRPr="0004405A" w:rsidRDefault="00D822E3" w:rsidP="00865A49">
      <w:pPr>
        <w:spacing w:after="0" w:line="240" w:lineRule="auto"/>
        <w:rPr>
          <w:rFonts w:cs="Times New Roman"/>
        </w:rPr>
      </w:pPr>
      <w:r w:rsidRPr="0004405A">
        <w:rPr>
          <w:rFonts w:cs="Times New Roman"/>
        </w:rPr>
        <w:t>A</w:t>
      </w:r>
      <w:r w:rsidR="0015490B" w:rsidRPr="0004405A">
        <w:rPr>
          <w:rFonts w:cs="Times New Roman"/>
        </w:rPr>
        <w:t xml:space="preserve">vailable monitoring data indicate that, when detected, </w:t>
      </w:r>
      <w:r w:rsidR="002066F3">
        <w:rPr>
          <w:rFonts w:cs="Times New Roman"/>
        </w:rPr>
        <w:t>malaoxon</w:t>
      </w:r>
      <w:r w:rsidRPr="0004405A">
        <w:rPr>
          <w:rFonts w:cs="Times New Roman"/>
        </w:rPr>
        <w:t xml:space="preserve"> is generally detected at lower concentrations compared to the parent. Given</w:t>
      </w:r>
      <w:r w:rsidR="0015490B" w:rsidRPr="0004405A">
        <w:rPr>
          <w:rFonts w:cs="Times New Roman"/>
        </w:rPr>
        <w:t xml:space="preserve"> that </w:t>
      </w:r>
      <w:r w:rsidR="002066F3">
        <w:rPr>
          <w:rFonts w:cs="Times New Roman"/>
        </w:rPr>
        <w:t>malaoxon</w:t>
      </w:r>
      <w:r w:rsidR="0015490B" w:rsidRPr="0004405A">
        <w:rPr>
          <w:rFonts w:cs="Times New Roman"/>
        </w:rPr>
        <w:t xml:space="preserve"> is of similar or somewhat greater toxicity compared to the parent, the effects of </w:t>
      </w:r>
      <w:r w:rsidR="002066F3">
        <w:rPr>
          <w:rFonts w:cs="Times New Roman"/>
        </w:rPr>
        <w:t>malaoxon</w:t>
      </w:r>
      <w:r w:rsidR="0015490B" w:rsidRPr="0004405A">
        <w:rPr>
          <w:rFonts w:cs="Times New Roman"/>
        </w:rPr>
        <w:t xml:space="preserve"> </w:t>
      </w:r>
      <w:r w:rsidR="00D93534" w:rsidRPr="0004405A">
        <w:rPr>
          <w:rFonts w:cs="Times New Roman"/>
        </w:rPr>
        <w:t>on mortality to exposed</w:t>
      </w:r>
      <w:r w:rsidR="0015490B" w:rsidRPr="0004405A">
        <w:rPr>
          <w:rFonts w:cs="Times New Roman"/>
        </w:rPr>
        <w:t xml:space="preserve"> non-target organisms are likely to be similar to those of the parent. </w:t>
      </w:r>
    </w:p>
    <w:p w14:paraId="7085193C" w14:textId="77777777" w:rsidR="0015490B" w:rsidRPr="00A56233" w:rsidRDefault="0015490B" w:rsidP="00865A49">
      <w:pPr>
        <w:spacing w:after="0" w:line="240" w:lineRule="auto"/>
        <w:rPr>
          <w:rFonts w:cs="Times New Roman"/>
          <w:highlight w:val="yellow"/>
        </w:rPr>
      </w:pPr>
    </w:p>
    <w:p w14:paraId="3A5EBC54" w14:textId="577734A7" w:rsidR="00365851" w:rsidRPr="00426073" w:rsidRDefault="0015490B" w:rsidP="00865A49">
      <w:pPr>
        <w:spacing w:after="0" w:line="240" w:lineRule="auto"/>
        <w:rPr>
          <w:rFonts w:cs="Times New Roman"/>
        </w:rPr>
      </w:pPr>
      <w:r w:rsidRPr="00426073">
        <w:rPr>
          <w:rFonts w:cs="Times New Roman"/>
        </w:rPr>
        <w:t xml:space="preserve">The likelihood of exposure to </w:t>
      </w:r>
      <w:r w:rsidR="00426073" w:rsidRPr="00426073">
        <w:rPr>
          <w:rFonts w:cs="Times New Roman"/>
        </w:rPr>
        <w:t>mala</w:t>
      </w:r>
      <w:r w:rsidRPr="00426073">
        <w:rPr>
          <w:rFonts w:cs="Times New Roman"/>
        </w:rPr>
        <w:t xml:space="preserve">oxon may be less than </w:t>
      </w:r>
      <w:r w:rsidR="00127580" w:rsidRPr="00426073">
        <w:rPr>
          <w:rFonts w:cs="Times New Roman"/>
        </w:rPr>
        <w:t xml:space="preserve">that of </w:t>
      </w:r>
      <w:r w:rsidRPr="00426073">
        <w:rPr>
          <w:rFonts w:cs="Times New Roman"/>
        </w:rPr>
        <w:t xml:space="preserve">the parent. This is because </w:t>
      </w:r>
      <w:r w:rsidR="002A3CB5" w:rsidRPr="00426073">
        <w:rPr>
          <w:rFonts w:cs="Times New Roman"/>
        </w:rPr>
        <w:t xml:space="preserve">1) </w:t>
      </w:r>
      <w:r w:rsidR="006F34A0" w:rsidRPr="00426073">
        <w:rPr>
          <w:rFonts w:cs="Times New Roman"/>
        </w:rPr>
        <w:t>malathion</w:t>
      </w:r>
      <w:r w:rsidRPr="00426073">
        <w:rPr>
          <w:rFonts w:cs="Times New Roman"/>
        </w:rPr>
        <w:t xml:space="preserve"> </w:t>
      </w:r>
      <w:r w:rsidR="00365851" w:rsidRPr="00426073">
        <w:rPr>
          <w:rFonts w:cs="Times New Roman"/>
        </w:rPr>
        <w:t xml:space="preserve">is </w:t>
      </w:r>
      <w:r w:rsidR="00426073">
        <w:rPr>
          <w:rFonts w:cs="Times New Roman"/>
        </w:rPr>
        <w:t xml:space="preserve">generally </w:t>
      </w:r>
      <w:r w:rsidRPr="00426073">
        <w:rPr>
          <w:rFonts w:cs="Times New Roman"/>
        </w:rPr>
        <w:t xml:space="preserve">less </w:t>
      </w:r>
      <w:r w:rsidR="00365851" w:rsidRPr="00426073">
        <w:rPr>
          <w:rFonts w:cs="Times New Roman"/>
        </w:rPr>
        <w:t xml:space="preserve">persistent in the environment </w:t>
      </w:r>
      <w:r w:rsidR="00756863" w:rsidRPr="00426073">
        <w:rPr>
          <w:rFonts w:cs="Times New Roman"/>
        </w:rPr>
        <w:t xml:space="preserve">when compared </w:t>
      </w:r>
      <w:r w:rsidR="002A3CB5" w:rsidRPr="00426073">
        <w:rPr>
          <w:rFonts w:cs="Times New Roman"/>
        </w:rPr>
        <w:t xml:space="preserve">to </w:t>
      </w:r>
      <w:r w:rsidR="006F34A0" w:rsidRPr="00426073">
        <w:rPr>
          <w:rFonts w:cs="Times New Roman"/>
        </w:rPr>
        <w:t>malathion</w:t>
      </w:r>
      <w:r w:rsidR="002A3CB5" w:rsidRPr="00426073">
        <w:rPr>
          <w:rFonts w:cs="Times New Roman"/>
        </w:rPr>
        <w:t xml:space="preserve"> and 2) </w:t>
      </w:r>
      <w:r w:rsidR="00756863" w:rsidRPr="00426073">
        <w:rPr>
          <w:rFonts w:cs="Times New Roman"/>
        </w:rPr>
        <w:t xml:space="preserve">if oxon formation occurs in air, only a fraction of the applied </w:t>
      </w:r>
      <w:r w:rsidR="006F34A0" w:rsidRPr="00426073">
        <w:rPr>
          <w:rFonts w:cs="Times New Roman"/>
        </w:rPr>
        <w:t>malathion</w:t>
      </w:r>
      <w:r w:rsidR="00756863" w:rsidRPr="00426073">
        <w:rPr>
          <w:rFonts w:cs="Times New Roman"/>
        </w:rPr>
        <w:t xml:space="preserve"> would be transported to the ai</w:t>
      </w:r>
      <w:r w:rsidR="00D822E3" w:rsidRPr="00426073">
        <w:rPr>
          <w:rFonts w:cs="Times New Roman"/>
        </w:rPr>
        <w:t xml:space="preserve">r and subject to transformation. </w:t>
      </w:r>
      <w:r w:rsidR="00127580" w:rsidRPr="00426073">
        <w:rPr>
          <w:rFonts w:cs="Times New Roman"/>
        </w:rPr>
        <w:t>L</w:t>
      </w:r>
      <w:r w:rsidR="002A3CB5" w:rsidRPr="00426073">
        <w:rPr>
          <w:rFonts w:cs="Times New Roman"/>
        </w:rPr>
        <w:t xml:space="preserve">ower exposure to </w:t>
      </w:r>
      <w:r w:rsidR="00426073" w:rsidRPr="00426073">
        <w:rPr>
          <w:rFonts w:cs="Times New Roman"/>
        </w:rPr>
        <w:t>mala</w:t>
      </w:r>
      <w:r w:rsidR="002A3CB5" w:rsidRPr="00426073">
        <w:rPr>
          <w:rFonts w:cs="Times New Roman"/>
        </w:rPr>
        <w:t xml:space="preserve">oxon </w:t>
      </w:r>
      <w:r w:rsidR="00127580" w:rsidRPr="00426073">
        <w:rPr>
          <w:rFonts w:cs="Times New Roman"/>
        </w:rPr>
        <w:t>is</w:t>
      </w:r>
      <w:r w:rsidR="002A3CB5" w:rsidRPr="00426073">
        <w:rPr>
          <w:rFonts w:cs="Times New Roman"/>
        </w:rPr>
        <w:t xml:space="preserve"> </w:t>
      </w:r>
      <w:r w:rsidR="00127580" w:rsidRPr="00426073">
        <w:rPr>
          <w:rFonts w:cs="Times New Roman"/>
        </w:rPr>
        <w:t xml:space="preserve">suggested </w:t>
      </w:r>
      <w:r w:rsidR="002A3CB5" w:rsidRPr="00426073">
        <w:rPr>
          <w:rFonts w:cs="Times New Roman"/>
        </w:rPr>
        <w:t xml:space="preserve">by the available monitoring data </w:t>
      </w:r>
      <w:r w:rsidR="00127580" w:rsidRPr="00426073">
        <w:rPr>
          <w:rFonts w:cs="Times New Roman"/>
        </w:rPr>
        <w:t xml:space="preserve">in which </w:t>
      </w:r>
      <w:r w:rsidR="00426073" w:rsidRPr="00426073">
        <w:rPr>
          <w:rFonts w:cs="Times New Roman"/>
        </w:rPr>
        <w:t>mala</w:t>
      </w:r>
      <w:r w:rsidR="002A3CB5" w:rsidRPr="00426073">
        <w:rPr>
          <w:rFonts w:cs="Times New Roman"/>
        </w:rPr>
        <w:t xml:space="preserve">oxon was detected less frequently than the parent (when considering samples where both </w:t>
      </w:r>
      <w:r w:rsidR="00127580" w:rsidRPr="00426073">
        <w:rPr>
          <w:rFonts w:cs="Times New Roman"/>
        </w:rPr>
        <w:t xml:space="preserve">chemicals </w:t>
      </w:r>
      <w:r w:rsidR="002A3CB5" w:rsidRPr="00426073">
        <w:rPr>
          <w:rFonts w:cs="Times New Roman"/>
        </w:rPr>
        <w:t>were quantified).</w:t>
      </w:r>
    </w:p>
    <w:p w14:paraId="0FDBDAE7" w14:textId="77777777" w:rsidR="00756863" w:rsidRPr="00A56233" w:rsidRDefault="00756863" w:rsidP="00865A49">
      <w:pPr>
        <w:spacing w:after="0" w:line="240" w:lineRule="auto"/>
        <w:rPr>
          <w:rFonts w:cs="Times New Roman"/>
          <w:highlight w:val="yellow"/>
        </w:rPr>
      </w:pPr>
    </w:p>
    <w:p w14:paraId="776B6A9C" w14:textId="2B1E35BF" w:rsidR="00865A49" w:rsidRPr="00312746" w:rsidRDefault="00865A49" w:rsidP="00865A49">
      <w:pPr>
        <w:spacing w:after="0" w:line="240" w:lineRule="auto"/>
        <w:rPr>
          <w:rFonts w:cs="Times New Roman"/>
        </w:rPr>
      </w:pPr>
      <w:r w:rsidRPr="000E3AFD">
        <w:rPr>
          <w:rFonts w:cs="Times New Roman"/>
        </w:rPr>
        <w:t>For birds</w:t>
      </w:r>
      <w:r w:rsidR="00014ECC">
        <w:rPr>
          <w:rFonts w:cs="Times New Roman"/>
        </w:rPr>
        <w:t xml:space="preserve"> and mammals</w:t>
      </w:r>
      <w:r w:rsidRPr="000E3AFD">
        <w:rPr>
          <w:rFonts w:cs="Times New Roman"/>
        </w:rPr>
        <w:t xml:space="preserve">, the uncertainty associated with not quantifying </w:t>
      </w:r>
      <w:r w:rsidR="00F54746" w:rsidRPr="000E3AFD">
        <w:rPr>
          <w:rFonts w:cs="Times New Roman"/>
        </w:rPr>
        <w:t>mala</w:t>
      </w:r>
      <w:r w:rsidRPr="000E3AFD">
        <w:rPr>
          <w:rFonts w:cs="Times New Roman"/>
        </w:rPr>
        <w:t xml:space="preserve">oxon may be less because of the conservative nature of the foliar dissipation half-life that is used for </w:t>
      </w:r>
      <w:r w:rsidR="006F34A0" w:rsidRPr="000E3AFD">
        <w:rPr>
          <w:rFonts w:cs="Times New Roman"/>
        </w:rPr>
        <w:t>malathion</w:t>
      </w:r>
      <w:r w:rsidRPr="000E3AFD">
        <w:rPr>
          <w:rFonts w:cs="Times New Roman"/>
        </w:rPr>
        <w:t xml:space="preserve">. Available half-lives range </w:t>
      </w:r>
      <w:r w:rsidR="00127580" w:rsidRPr="000E3AFD">
        <w:rPr>
          <w:rFonts w:cs="Times New Roman"/>
        </w:rPr>
        <w:t xml:space="preserve">over </w:t>
      </w:r>
      <w:r w:rsidRPr="000E3AFD">
        <w:rPr>
          <w:rFonts w:cs="Times New Roman"/>
        </w:rPr>
        <w:t>an order of magnitude, i.e., 0.</w:t>
      </w:r>
      <w:r w:rsidR="00CB27B9" w:rsidRPr="000E3AFD">
        <w:rPr>
          <w:rFonts w:cs="Times New Roman"/>
        </w:rPr>
        <w:t>9-10.9</w:t>
      </w:r>
      <w:r w:rsidRPr="000E3AFD">
        <w:rPr>
          <w:rFonts w:cs="Times New Roman"/>
        </w:rPr>
        <w:t xml:space="preserve"> days. The dissipation of </w:t>
      </w:r>
      <w:r w:rsidR="006F34A0" w:rsidRPr="000E3AFD">
        <w:rPr>
          <w:rFonts w:cs="Times New Roman"/>
        </w:rPr>
        <w:t>malathion</w:t>
      </w:r>
      <w:r w:rsidRPr="000E3AFD">
        <w:rPr>
          <w:rFonts w:cs="Times New Roman"/>
        </w:rPr>
        <w:t xml:space="preserve"> is conservatively represented by a 90</w:t>
      </w:r>
      <w:r w:rsidRPr="000E3AFD">
        <w:rPr>
          <w:rFonts w:cs="Times New Roman"/>
          <w:vertAlign w:val="superscript"/>
        </w:rPr>
        <w:t>th</w:t>
      </w:r>
      <w:r w:rsidRPr="000E3AFD">
        <w:rPr>
          <w:rFonts w:cs="Times New Roman"/>
        </w:rPr>
        <w:t xml:space="preserve"> percentile value of </w:t>
      </w:r>
      <w:r w:rsidR="00F54746" w:rsidRPr="000E3AFD">
        <w:rPr>
          <w:rFonts w:cs="Times New Roman"/>
        </w:rPr>
        <w:t>6.1</w:t>
      </w:r>
      <w:r w:rsidRPr="000E3AFD">
        <w:rPr>
          <w:rFonts w:cs="Times New Roman"/>
        </w:rPr>
        <w:t xml:space="preserve"> days. </w:t>
      </w:r>
      <w:r w:rsidR="00CB27B9" w:rsidRPr="000E3AFD">
        <w:rPr>
          <w:rFonts w:cs="Times New Roman"/>
        </w:rPr>
        <w:t xml:space="preserve">Appreciable malaoxon formation relative to malathion concentrations occurred on sand (6%) and dry soil (10%).  Residues of malaoxon on steel, concrete, and plastic were very low or nondetectable.  </w:t>
      </w:r>
      <w:r w:rsidR="000E3AFD" w:rsidRPr="000E3AFD">
        <w:rPr>
          <w:rFonts w:cs="Times New Roman"/>
        </w:rPr>
        <w:t>In a laboratory photolysis study, m</w:t>
      </w:r>
      <w:r w:rsidR="000E3AFD" w:rsidRPr="000E3AFD">
        <w:rPr>
          <w:rFonts w:eastAsia="Times New Roman" w:cs="Times New Roman"/>
        </w:rPr>
        <w:t>alaoxon air concentrations were at their maximum between 24 and 48 hours after application</w:t>
      </w:r>
      <w:r w:rsidR="000E3AFD" w:rsidRPr="000E3AFD">
        <w:rPr>
          <w:rFonts w:cs="Times New Roman"/>
        </w:rPr>
        <w:t xml:space="preserve"> </w:t>
      </w:r>
      <w:r w:rsidR="000E3AFD" w:rsidRPr="0022552A">
        <w:rPr>
          <w:rFonts w:cs="Times New Roman"/>
        </w:rPr>
        <w:t>which falls within the range of the foliar dissipation half-life for malathion.</w:t>
      </w:r>
      <w:r w:rsidR="00014ECC">
        <w:rPr>
          <w:rFonts w:cs="Times New Roman"/>
        </w:rPr>
        <w:t xml:space="preserve"> In two field studies measuring malathion and malaoxon residues in ground or forage-dwelling invertebrates and ground vegetation after a foliar application to either oilrape seed (at 0.785 lb a.i./A) or alfalfa (1.34 lb a.i./A), the maximum measured concentration of malaoxon was 3.7 or 11%, 0.6 or 2.9%, and 0.2 or 0.3% of the measured concentration for malathion, respectively (ratio of malaoxon to malathion concentration at the maximum measured malaoxon concentration)</w:t>
      </w:r>
      <w:r w:rsidR="00312746">
        <w:rPr>
          <w:rFonts w:cs="Times New Roman"/>
        </w:rPr>
        <w:t xml:space="preserve"> (MRID 49086410 and 49086411)</w:t>
      </w:r>
      <w:r w:rsidR="00014ECC">
        <w:rPr>
          <w:rFonts w:cs="Times New Roman"/>
        </w:rPr>
        <w:t xml:space="preserve">.    </w:t>
      </w:r>
      <w:r w:rsidR="000E3AFD" w:rsidRPr="0022552A">
        <w:rPr>
          <w:rFonts w:cs="Times New Roman"/>
        </w:rPr>
        <w:t xml:space="preserve"> </w:t>
      </w:r>
      <w:r w:rsidR="00FE406D">
        <w:rPr>
          <w:rFonts w:cs="Times New Roman"/>
        </w:rPr>
        <w:t xml:space="preserve">The most sensitive avian species is the ring-necked pheasant for which there is a 7-fold difference between malathion and malaoxon.  For mammals (using the rat), the most sensitive acute mortality value is 207 mg/kg/bw, which is </w:t>
      </w:r>
      <w:r w:rsidR="00FE7F9A">
        <w:rPr>
          <w:rFonts w:cs="Times New Roman"/>
        </w:rPr>
        <w:t>4 times greater than the malaoxon toxicity value</w:t>
      </w:r>
      <w:r w:rsidR="00FE406D">
        <w:rPr>
          <w:rFonts w:cs="Times New Roman"/>
        </w:rPr>
        <w:t>.  Therefore, while malaoxon is more toxic than parent</w:t>
      </w:r>
      <w:r w:rsidR="00AF0C71">
        <w:rPr>
          <w:rFonts w:cs="Times New Roman"/>
        </w:rPr>
        <w:t xml:space="preserve"> to birds and mammals</w:t>
      </w:r>
      <w:r w:rsidRPr="00312746">
        <w:rPr>
          <w:rFonts w:cs="Times New Roman"/>
        </w:rPr>
        <w:t xml:space="preserve">, </w:t>
      </w:r>
      <w:r w:rsidR="00FE406D">
        <w:rPr>
          <w:rFonts w:cs="Times New Roman"/>
        </w:rPr>
        <w:t>given the environmental fate, formation and persistence of malaoxon,</w:t>
      </w:r>
      <w:r w:rsidR="00312746" w:rsidRPr="00312746">
        <w:rPr>
          <w:rFonts w:cs="Times New Roman"/>
        </w:rPr>
        <w:t xml:space="preserve"> </w:t>
      </w:r>
      <w:r w:rsidRPr="00312746">
        <w:rPr>
          <w:rFonts w:cs="Times New Roman"/>
        </w:rPr>
        <w:t xml:space="preserve">effects due to </w:t>
      </w:r>
      <w:r w:rsidR="00F54746" w:rsidRPr="00312746">
        <w:rPr>
          <w:rFonts w:cs="Times New Roman"/>
        </w:rPr>
        <w:t>mala</w:t>
      </w:r>
      <w:r w:rsidRPr="00312746">
        <w:rPr>
          <w:rFonts w:cs="Times New Roman"/>
        </w:rPr>
        <w:t xml:space="preserve">oxon, </w:t>
      </w:r>
      <w:r w:rsidR="00FE7F9A">
        <w:rPr>
          <w:rFonts w:cs="Times New Roman"/>
        </w:rPr>
        <w:t>are anticipated to be</w:t>
      </w:r>
      <w:r w:rsidRPr="00312746">
        <w:rPr>
          <w:rFonts w:cs="Times New Roman"/>
        </w:rPr>
        <w:t xml:space="preserve"> potentially captured by using a conservative half-life for </w:t>
      </w:r>
      <w:r w:rsidR="006F34A0" w:rsidRPr="00312746">
        <w:rPr>
          <w:rFonts w:cs="Times New Roman"/>
        </w:rPr>
        <w:t>malathion</w:t>
      </w:r>
      <w:r w:rsidR="00B1102F" w:rsidRPr="00312746">
        <w:rPr>
          <w:rFonts w:cs="Times New Roman"/>
        </w:rPr>
        <w:t xml:space="preserve"> and the toxicity endpoints based on exposure to </w:t>
      </w:r>
      <w:r w:rsidR="006F34A0" w:rsidRPr="00312746">
        <w:rPr>
          <w:rFonts w:cs="Times New Roman"/>
        </w:rPr>
        <w:t>malathion</w:t>
      </w:r>
      <w:r w:rsidRPr="00312746">
        <w:rPr>
          <w:rFonts w:cs="Times New Roman"/>
        </w:rPr>
        <w:t>.</w:t>
      </w:r>
      <w:r w:rsidR="00FE406D">
        <w:rPr>
          <w:rFonts w:cs="Times New Roman"/>
        </w:rPr>
        <w:t xml:space="preserve"> </w:t>
      </w:r>
    </w:p>
    <w:p w14:paraId="293BD51C" w14:textId="77777777" w:rsidR="00865A49" w:rsidRPr="00A56233" w:rsidRDefault="00865A49" w:rsidP="00865A49">
      <w:pPr>
        <w:spacing w:after="0" w:line="240" w:lineRule="auto"/>
        <w:rPr>
          <w:rFonts w:cs="Times New Roman"/>
          <w:highlight w:val="yellow"/>
        </w:rPr>
      </w:pPr>
    </w:p>
    <w:p w14:paraId="425C1331" w14:textId="24F9B0BD" w:rsidR="00F45375" w:rsidRDefault="00865A49" w:rsidP="00F45375">
      <w:pPr>
        <w:spacing w:after="0" w:line="240" w:lineRule="auto"/>
        <w:rPr>
          <w:rFonts w:cs="Times New Roman"/>
          <w:highlight w:val="yellow"/>
        </w:rPr>
      </w:pPr>
      <w:r w:rsidRPr="005451E5">
        <w:rPr>
          <w:rFonts w:cs="Times New Roman"/>
        </w:rPr>
        <w:t>The</w:t>
      </w:r>
      <w:r w:rsidR="00BB290A" w:rsidRPr="005451E5">
        <w:rPr>
          <w:rFonts w:cs="Times New Roman"/>
        </w:rPr>
        <w:t xml:space="preserve"> most conservative assumption</w:t>
      </w:r>
      <w:r w:rsidR="005539F8" w:rsidRPr="005451E5">
        <w:rPr>
          <w:rFonts w:cs="Times New Roman"/>
        </w:rPr>
        <w:t xml:space="preserve"> related to mortality </w:t>
      </w:r>
      <w:r w:rsidR="000D3413" w:rsidRPr="005451E5">
        <w:rPr>
          <w:rFonts w:cs="Times New Roman"/>
        </w:rPr>
        <w:t xml:space="preserve">to aquatic organisms </w:t>
      </w:r>
      <w:r w:rsidR="005539F8" w:rsidRPr="005451E5">
        <w:rPr>
          <w:rFonts w:cs="Times New Roman"/>
        </w:rPr>
        <w:t xml:space="preserve">would be that </w:t>
      </w:r>
      <w:r w:rsidR="005451E5" w:rsidRPr="005451E5">
        <w:rPr>
          <w:rFonts w:cs="Times New Roman"/>
        </w:rPr>
        <w:t>mala</w:t>
      </w:r>
      <w:r w:rsidR="00756863" w:rsidRPr="005451E5">
        <w:rPr>
          <w:rFonts w:cs="Times New Roman"/>
        </w:rPr>
        <w:t xml:space="preserve">oxon is </w:t>
      </w:r>
      <w:r w:rsidR="005451E5" w:rsidRPr="005451E5">
        <w:rPr>
          <w:rFonts w:cs="Times New Roman"/>
        </w:rPr>
        <w:t>9</w:t>
      </w:r>
      <w:r w:rsidR="00022669">
        <w:rPr>
          <w:rFonts w:cs="Times New Roman"/>
        </w:rPr>
        <w:t>0</w:t>
      </w:r>
      <w:r w:rsidR="005451E5" w:rsidRPr="005451E5">
        <w:rPr>
          <w:rFonts w:cs="Times New Roman"/>
        </w:rPr>
        <w:t xml:space="preserve"> times</w:t>
      </w:r>
      <w:r w:rsidR="00C24C39" w:rsidRPr="005451E5">
        <w:rPr>
          <w:rFonts w:cs="Times New Roman"/>
        </w:rPr>
        <w:t xml:space="preserve"> greater than the parent (</w:t>
      </w:r>
      <w:r w:rsidR="00BB290A" w:rsidRPr="005451E5">
        <w:rPr>
          <w:rFonts w:cs="Times New Roman"/>
        </w:rPr>
        <w:t xml:space="preserve">based on the yellow-legged frog data from </w:t>
      </w:r>
      <w:r w:rsidR="005539F8" w:rsidRPr="005451E5">
        <w:rPr>
          <w:rFonts w:cs="Times New Roman"/>
        </w:rPr>
        <w:t>ECOTOX 92498</w:t>
      </w:r>
      <w:r w:rsidR="00C24C39" w:rsidRPr="005451E5">
        <w:rPr>
          <w:rFonts w:cs="Times New Roman"/>
        </w:rPr>
        <w:t>).</w:t>
      </w:r>
      <w:r w:rsidR="006C1A16">
        <w:rPr>
          <w:rFonts w:cs="Times New Roman"/>
        </w:rPr>
        <w:t xml:space="preserve"> </w:t>
      </w:r>
      <w:r w:rsidR="006C1A16" w:rsidRPr="005451E5">
        <w:rPr>
          <w:rFonts w:cs="Times New Roman"/>
        </w:rPr>
        <w:t xml:space="preserve">It is noted that in this study, </w:t>
      </w:r>
      <w:r w:rsidR="006C1A16">
        <w:rPr>
          <w:rFonts w:cs="Times New Roman"/>
        </w:rPr>
        <w:t xml:space="preserve">neither </w:t>
      </w:r>
      <w:r w:rsidR="006C1A16" w:rsidRPr="005451E5">
        <w:rPr>
          <w:rFonts w:cs="Times New Roman"/>
        </w:rPr>
        <w:t xml:space="preserve">control mortality </w:t>
      </w:r>
      <w:r w:rsidR="006C1A16">
        <w:rPr>
          <w:rFonts w:cs="Times New Roman"/>
        </w:rPr>
        <w:t>n</w:t>
      </w:r>
      <w:r w:rsidR="006C1A16" w:rsidRPr="005451E5">
        <w:rPr>
          <w:rFonts w:cs="Times New Roman"/>
        </w:rPr>
        <w:t>or measured tes</w:t>
      </w:r>
      <w:r w:rsidR="006C1A16">
        <w:rPr>
          <w:rFonts w:cs="Times New Roman"/>
        </w:rPr>
        <w:t>t concentrations were reported</w:t>
      </w:r>
      <w:r w:rsidR="006C1A16" w:rsidRPr="005451E5">
        <w:rPr>
          <w:rFonts w:cs="Times New Roman"/>
        </w:rPr>
        <w:t>.</w:t>
      </w:r>
      <w:r w:rsidR="006C1A16" w:rsidRPr="00F45375">
        <w:rPr>
          <w:rFonts w:cs="Times New Roman"/>
        </w:rPr>
        <w:t xml:space="preserve"> </w:t>
      </w:r>
      <w:r w:rsidR="006C1A16">
        <w:rPr>
          <w:rFonts w:cs="Times New Roman"/>
        </w:rPr>
        <w:t xml:space="preserve">For other aquatic species, the toxicity difference is generally within one order of magnitude. </w:t>
      </w:r>
      <w:r w:rsidR="00C24C39" w:rsidRPr="005451E5">
        <w:rPr>
          <w:rFonts w:cs="Times New Roman"/>
        </w:rPr>
        <w:t xml:space="preserve"> </w:t>
      </w:r>
      <w:r w:rsidR="006C1A16">
        <w:rPr>
          <w:rFonts w:cs="Times New Roman"/>
        </w:rPr>
        <w:t>T</w:t>
      </w:r>
      <w:r w:rsidR="00022669" w:rsidRPr="00F45375">
        <w:rPr>
          <w:rFonts w:cs="Times New Roman"/>
        </w:rPr>
        <w:t>he hydrolysis half-life for malaoxon is more rapid than malathion, but like malathion</w:t>
      </w:r>
      <w:r w:rsidR="00F45375">
        <w:rPr>
          <w:rFonts w:cs="Times New Roman"/>
        </w:rPr>
        <w:t>,</w:t>
      </w:r>
      <w:r w:rsidR="00022669" w:rsidRPr="00F45375">
        <w:rPr>
          <w:rFonts w:cs="Times New Roman"/>
        </w:rPr>
        <w:t xml:space="preserve"> is also pH dependent</w:t>
      </w:r>
      <w:r w:rsidR="0056769D" w:rsidRPr="00F45375">
        <w:rPr>
          <w:rFonts w:cs="Times New Roman"/>
        </w:rPr>
        <w:t xml:space="preserve"> (8.8 days at pH 7, 0.16 days at pH 9)</w:t>
      </w:r>
      <w:r w:rsidR="00022669" w:rsidRPr="00F45375">
        <w:rPr>
          <w:rFonts w:cs="Times New Roman"/>
        </w:rPr>
        <w:t xml:space="preserve">. </w:t>
      </w:r>
      <w:r w:rsidR="0056769D" w:rsidRPr="00F45375">
        <w:rPr>
          <w:rFonts w:cs="Times New Roman"/>
        </w:rPr>
        <w:t>The highest levels of aquatic malaoxon found in a search of available data were a result of medfly control efforts in California (CDFG 1982)</w:t>
      </w:r>
      <w:r w:rsidR="00F45375">
        <w:rPr>
          <w:rFonts w:cs="Times New Roman"/>
        </w:rPr>
        <w:t xml:space="preserve"> (see </w:t>
      </w:r>
      <w:r w:rsidR="00F45375" w:rsidRPr="00F45375">
        <w:rPr>
          <w:rFonts w:cs="Times New Roman"/>
          <w:b/>
        </w:rPr>
        <w:t>APPENDIX 1-10</w:t>
      </w:r>
      <w:r w:rsidR="00F45375">
        <w:rPr>
          <w:rFonts w:cs="Times New Roman"/>
        </w:rPr>
        <w:t xml:space="preserve">). In </w:t>
      </w:r>
      <w:r w:rsidR="006C1A16">
        <w:rPr>
          <w:rFonts w:cs="Times New Roman"/>
        </w:rPr>
        <w:t xml:space="preserve">this monitoring program, in </w:t>
      </w:r>
      <w:r w:rsidR="00F45375">
        <w:rPr>
          <w:rFonts w:cs="Times New Roman"/>
        </w:rPr>
        <w:t>some cases, while the concentration of malaoxon was greater than malathion, generally the concentrations of malaoxon were similar or approximately one-half of malathion</w:t>
      </w:r>
      <w:r w:rsidR="0056769D" w:rsidRPr="00F45375">
        <w:rPr>
          <w:rFonts w:cs="Times New Roman"/>
        </w:rPr>
        <w:t xml:space="preserve">. </w:t>
      </w:r>
      <w:r w:rsidR="00F45375" w:rsidRPr="00F45375">
        <w:rPr>
          <w:rFonts w:cs="Times New Roman"/>
        </w:rPr>
        <w:t>It is noted that r</w:t>
      </w:r>
      <w:r w:rsidR="0056769D" w:rsidRPr="00F45375">
        <w:rPr>
          <w:rFonts w:cs="Times New Roman"/>
        </w:rPr>
        <w:t xml:space="preserve">esidential uses that are no longer supported also potentially contributed to these concentrations. </w:t>
      </w:r>
      <w:r w:rsidR="00F45375" w:rsidRPr="003055F0">
        <w:rPr>
          <w:rFonts w:eastAsia="Times New Roman" w:cs="Times New Roman"/>
        </w:rPr>
        <w:t>These runoff concentrations are much higher than agricultural runoff levels or non-targeted residential runoff levels</w:t>
      </w:r>
      <w:r w:rsidR="00F45375" w:rsidRPr="00F45375">
        <w:rPr>
          <w:rFonts w:cs="Times New Roman"/>
        </w:rPr>
        <w:t xml:space="preserve">. </w:t>
      </w:r>
      <w:r w:rsidR="00F45375" w:rsidRPr="00F45375">
        <w:rPr>
          <w:rFonts w:eastAsia="Times New Roman" w:cs="Times New Roman"/>
        </w:rPr>
        <w:t>I</w:t>
      </w:r>
      <w:r w:rsidR="00F45375" w:rsidRPr="003055F0">
        <w:rPr>
          <w:rFonts w:eastAsia="Times New Roman" w:cs="Times New Roman"/>
        </w:rPr>
        <w:t xml:space="preserve">n </w:t>
      </w:r>
      <w:r w:rsidR="00F45375">
        <w:rPr>
          <w:rFonts w:eastAsia="Times New Roman" w:cs="Times New Roman"/>
        </w:rPr>
        <w:t xml:space="preserve">an </w:t>
      </w:r>
      <w:r w:rsidR="00F45375" w:rsidRPr="003055F0">
        <w:rPr>
          <w:rFonts w:eastAsia="Times New Roman" w:cs="Times New Roman"/>
        </w:rPr>
        <w:t>aquatic field dissipation study in Missouri</w:t>
      </w:r>
      <w:r w:rsidR="00F45375">
        <w:rPr>
          <w:rFonts w:eastAsia="Times New Roman" w:cs="Times New Roman"/>
        </w:rPr>
        <w:t xml:space="preserve"> for which</w:t>
      </w:r>
      <w:r w:rsidR="00F45375" w:rsidRPr="003055F0">
        <w:rPr>
          <w:rFonts w:eastAsia="Times New Roman" w:cs="Times New Roman"/>
        </w:rPr>
        <w:t xml:space="preserve"> malathion was applied to a flooded rice paddy</w:t>
      </w:r>
      <w:r w:rsidR="00F45375">
        <w:rPr>
          <w:rFonts w:eastAsia="Times New Roman" w:cs="Times New Roman"/>
        </w:rPr>
        <w:t>, m</w:t>
      </w:r>
      <w:r w:rsidR="00F45375" w:rsidRPr="003055F0">
        <w:rPr>
          <w:rFonts w:eastAsia="Times New Roman" w:cs="Times New Roman"/>
        </w:rPr>
        <w:t>alathion residues det</w:t>
      </w:r>
      <w:bookmarkStart w:id="0" w:name="_GoBack"/>
      <w:bookmarkEnd w:id="0"/>
      <w:r w:rsidR="00F45375" w:rsidRPr="003055F0">
        <w:rPr>
          <w:rFonts w:eastAsia="Times New Roman" w:cs="Times New Roman"/>
        </w:rPr>
        <w:t>ected in water samples collected after the first and</w:t>
      </w:r>
      <w:r w:rsidR="00F45375" w:rsidRPr="003055F0">
        <w:t xml:space="preserve"> </w:t>
      </w:r>
      <w:r w:rsidR="00F45375" w:rsidRPr="003055F0">
        <w:rPr>
          <w:rFonts w:eastAsia="Times New Roman" w:cs="Times New Roman"/>
        </w:rPr>
        <w:t>second application dissipated to below the detection limit (10 μg/L) in samples taken prior to the</w:t>
      </w:r>
      <w:r w:rsidR="00F45375" w:rsidRPr="003055F0">
        <w:t xml:space="preserve"> </w:t>
      </w:r>
      <w:r w:rsidR="00F45375" w:rsidRPr="003055F0">
        <w:rPr>
          <w:rFonts w:eastAsia="Times New Roman" w:cs="Times New Roman"/>
        </w:rPr>
        <w:t>second and third applications. In water samples collected one day after the last application,</w:t>
      </w:r>
      <w:r w:rsidR="00F45375" w:rsidRPr="003055F0">
        <w:t xml:space="preserve"> </w:t>
      </w:r>
      <w:r w:rsidR="00F45375" w:rsidRPr="003055F0">
        <w:rPr>
          <w:rFonts w:eastAsia="Times New Roman" w:cs="Times New Roman"/>
        </w:rPr>
        <w:t>malathion concentrations averaged 17 μg/L and had decreased to 10 μg/L by the second</w:t>
      </w:r>
      <w:r w:rsidR="00F45375" w:rsidRPr="003055F0">
        <w:t xml:space="preserve"> </w:t>
      </w:r>
      <w:r w:rsidR="00F45375" w:rsidRPr="003055F0">
        <w:rPr>
          <w:rFonts w:eastAsia="Times New Roman" w:cs="Times New Roman"/>
        </w:rPr>
        <w:t>sampling day. Malaoxon residues were &lt;10 μg/L at all sampling dates.</w:t>
      </w:r>
      <w:r w:rsidR="006C1A16">
        <w:rPr>
          <w:rFonts w:eastAsia="Times New Roman" w:cs="Times New Roman"/>
        </w:rPr>
        <w:t xml:space="preserve">  Other f</w:t>
      </w:r>
      <w:r w:rsidR="006C1A16" w:rsidRPr="006C1A16">
        <w:rPr>
          <w:rFonts w:eastAsia="Times New Roman" w:cs="Times New Roman"/>
        </w:rPr>
        <w:t>ield data indicate that up to 10% of malathion can be transformed</w:t>
      </w:r>
      <w:r w:rsidR="006C1A16">
        <w:rPr>
          <w:rFonts w:eastAsia="Times New Roman" w:cs="Times New Roman"/>
        </w:rPr>
        <w:t xml:space="preserve"> to malaoxon which may then be available during runoff. </w:t>
      </w:r>
      <w:r w:rsidR="00DD6C4B">
        <w:rPr>
          <w:rFonts w:eastAsia="Times New Roman" w:cs="Times New Roman"/>
        </w:rPr>
        <w:t xml:space="preserve"> Additional details on the monitoring data are also presented in Chapter 3. </w:t>
      </w:r>
    </w:p>
    <w:p w14:paraId="335DAE61" w14:textId="77777777" w:rsidR="00F45375" w:rsidRDefault="00F45375" w:rsidP="0056769D">
      <w:pPr>
        <w:spacing w:after="0" w:line="240" w:lineRule="auto"/>
        <w:rPr>
          <w:rFonts w:cs="Times New Roman"/>
          <w:highlight w:val="yellow"/>
        </w:rPr>
      </w:pPr>
    </w:p>
    <w:p w14:paraId="6A51E092" w14:textId="5F1F345C" w:rsidR="00756863" w:rsidRPr="00FD7440" w:rsidRDefault="00C24C39" w:rsidP="0056769D">
      <w:pPr>
        <w:spacing w:after="0" w:line="240" w:lineRule="auto"/>
        <w:rPr>
          <w:rFonts w:cs="Times New Roman"/>
        </w:rPr>
      </w:pPr>
      <w:r w:rsidRPr="00FD7440">
        <w:rPr>
          <w:rFonts w:cs="Times New Roman"/>
        </w:rPr>
        <w:lastRenderedPageBreak/>
        <w:t xml:space="preserve">When </w:t>
      </w:r>
      <w:r w:rsidR="006C1A16" w:rsidRPr="00FD7440">
        <w:rPr>
          <w:rFonts w:cs="Times New Roman"/>
        </w:rPr>
        <w:t xml:space="preserve">the range of </w:t>
      </w:r>
      <w:r w:rsidR="00007A46" w:rsidRPr="00FD7440">
        <w:rPr>
          <w:rFonts w:cs="Times New Roman"/>
        </w:rPr>
        <w:t>toxicity differences between malathion to malaoxon</w:t>
      </w:r>
      <w:r w:rsidR="0031090E" w:rsidRPr="00FD7440">
        <w:rPr>
          <w:rFonts w:cs="Times New Roman"/>
        </w:rPr>
        <w:t xml:space="preserve"> across taxa</w:t>
      </w:r>
      <w:r w:rsidR="00007A46" w:rsidRPr="00FD7440">
        <w:rPr>
          <w:rFonts w:cs="Times New Roman"/>
        </w:rPr>
        <w:t xml:space="preserve"> (less to similar to more) along with the formation rate and variable detection concentration</w:t>
      </w:r>
      <w:r w:rsidR="0031090E" w:rsidRPr="00FD7440">
        <w:rPr>
          <w:rFonts w:cs="Times New Roman"/>
        </w:rPr>
        <w:t>s</w:t>
      </w:r>
      <w:r w:rsidR="00007A46" w:rsidRPr="00FD7440">
        <w:rPr>
          <w:rFonts w:cs="Times New Roman"/>
        </w:rPr>
        <w:t xml:space="preserve"> in water </w:t>
      </w:r>
      <w:r w:rsidR="0031090E" w:rsidRPr="00FD7440">
        <w:rPr>
          <w:rFonts w:cs="Times New Roman"/>
        </w:rPr>
        <w:t xml:space="preserve">for malaoxon </w:t>
      </w:r>
      <w:r w:rsidR="00007A46" w:rsidRPr="00FD7440">
        <w:rPr>
          <w:rFonts w:cs="Times New Roman"/>
        </w:rPr>
        <w:t xml:space="preserve">are </w:t>
      </w:r>
      <w:r w:rsidRPr="00FD7440">
        <w:rPr>
          <w:rFonts w:cs="Times New Roman"/>
        </w:rPr>
        <w:t>taken together</w:t>
      </w:r>
      <w:r w:rsidR="0031090E" w:rsidRPr="00FD7440">
        <w:rPr>
          <w:rFonts w:cs="Times New Roman"/>
        </w:rPr>
        <w:t xml:space="preserve">, the range of uncertainty may be </w:t>
      </w:r>
      <w:r w:rsidR="006C42D5" w:rsidRPr="00FD7440">
        <w:rPr>
          <w:rFonts w:cs="Times New Roman"/>
        </w:rPr>
        <w:t>already incorporated into the</w:t>
      </w:r>
      <w:r w:rsidR="00BB290A" w:rsidRPr="00FD7440">
        <w:rPr>
          <w:rFonts w:cs="Times New Roman"/>
        </w:rPr>
        <w:t xml:space="preserve"> </w:t>
      </w:r>
      <w:r w:rsidR="0031090E" w:rsidRPr="00FD7440">
        <w:rPr>
          <w:rFonts w:cs="Times New Roman"/>
        </w:rPr>
        <w:t xml:space="preserve">uncertainty in the </w:t>
      </w:r>
      <w:r w:rsidR="00BB290A" w:rsidRPr="00FD7440">
        <w:rPr>
          <w:rFonts w:cs="Times New Roman"/>
        </w:rPr>
        <w:t xml:space="preserve">mortality threshold </w:t>
      </w:r>
      <w:r w:rsidR="006C42D5" w:rsidRPr="00FD7440">
        <w:rPr>
          <w:rFonts w:cs="Times New Roman"/>
        </w:rPr>
        <w:t xml:space="preserve">for </w:t>
      </w:r>
      <w:r w:rsidR="006F34A0" w:rsidRPr="00FD7440">
        <w:rPr>
          <w:rFonts w:cs="Times New Roman"/>
        </w:rPr>
        <w:t>malathion</w:t>
      </w:r>
      <w:r w:rsidR="00BB290A" w:rsidRPr="00FD7440">
        <w:rPr>
          <w:rFonts w:cs="Times New Roman"/>
        </w:rPr>
        <w:t xml:space="preserve"> for fish and aquatic phase amphibians</w:t>
      </w:r>
      <w:r w:rsidR="00865A49" w:rsidRPr="00FD7440">
        <w:rPr>
          <w:rStyle w:val="FootnoteReference"/>
          <w:rFonts w:cs="Times New Roman"/>
        </w:rPr>
        <w:footnoteReference w:id="1"/>
      </w:r>
      <w:r w:rsidR="00865A49" w:rsidRPr="00FD7440">
        <w:rPr>
          <w:rFonts w:cs="Times New Roman"/>
        </w:rPr>
        <w:t>.</w:t>
      </w:r>
      <w:r w:rsidR="00BB290A" w:rsidRPr="00FD7440">
        <w:rPr>
          <w:rFonts w:cs="Times New Roman"/>
        </w:rPr>
        <w:t xml:space="preserve"> </w:t>
      </w:r>
      <w:r w:rsidR="0031090E" w:rsidRPr="00FD7440">
        <w:rPr>
          <w:rFonts w:cs="Times New Roman"/>
        </w:rPr>
        <w:t>Therefore, a lack of quantification of potential increases of mortality due to the potential presence of malaoxon does not represent greater uncertainty compared to what is already inherent in the mortality thresholds for malathion.  For these reasons, in most cases, risks of mortality associated with the oxon are not expected to materially influence (</w:t>
      </w:r>
      <w:r w:rsidR="0031090E" w:rsidRPr="00FD7440">
        <w:rPr>
          <w:rFonts w:cs="Times New Roman"/>
          <w:i/>
        </w:rPr>
        <w:t>i.e</w:t>
      </w:r>
      <w:r w:rsidR="0031090E" w:rsidRPr="00FD7440">
        <w:rPr>
          <w:rFonts w:cs="Times New Roman"/>
        </w:rPr>
        <w:t>., change) any species-specific effects determination that is based on malathion parent.  Therefore, the potential risks associated with the oxon will not be quantitatively assessed.  However, because of the uncertainties associated with the potential risks of the oxon, the oxon will be qualitatively considered in the weight-of-evidence approach used for making effects determinations.</w:t>
      </w:r>
    </w:p>
    <w:p w14:paraId="48AE15AF" w14:textId="77777777" w:rsidR="000D3413" w:rsidRPr="00FD7440" w:rsidRDefault="000D3413" w:rsidP="00865A49">
      <w:pPr>
        <w:spacing w:after="0" w:line="240" w:lineRule="auto"/>
        <w:rPr>
          <w:rFonts w:cs="Times New Roman"/>
        </w:rPr>
      </w:pPr>
    </w:p>
    <w:p w14:paraId="50645141" w14:textId="5727D3D0" w:rsidR="006C42D5" w:rsidRPr="00132F83" w:rsidRDefault="006C42D5" w:rsidP="00865A49">
      <w:pPr>
        <w:spacing w:after="0" w:line="240" w:lineRule="auto"/>
        <w:rPr>
          <w:rFonts w:cs="Times New Roman"/>
        </w:rPr>
      </w:pPr>
    </w:p>
    <w:p w14:paraId="6221339A" w14:textId="77777777" w:rsidR="00756863" w:rsidRPr="00132F83" w:rsidRDefault="00756863" w:rsidP="00865A49">
      <w:pPr>
        <w:spacing w:after="0" w:line="240" w:lineRule="auto"/>
        <w:rPr>
          <w:rFonts w:cs="Times New Roman"/>
        </w:rPr>
      </w:pPr>
    </w:p>
    <w:p w14:paraId="74F46A67" w14:textId="2423E5C9" w:rsidR="00756863" w:rsidRPr="00132F83" w:rsidRDefault="00756863" w:rsidP="00865A49">
      <w:pPr>
        <w:spacing w:after="0" w:line="240" w:lineRule="auto"/>
        <w:rPr>
          <w:rFonts w:cs="Times New Roman"/>
          <w:b/>
        </w:rPr>
      </w:pPr>
      <w:r w:rsidRPr="00132F83">
        <w:rPr>
          <w:rFonts w:cs="Times New Roman"/>
          <w:b/>
        </w:rPr>
        <w:t>References</w:t>
      </w:r>
    </w:p>
    <w:p w14:paraId="7571F871" w14:textId="77777777" w:rsidR="00365851" w:rsidRPr="00132F83" w:rsidRDefault="00365851" w:rsidP="00865A49">
      <w:pPr>
        <w:spacing w:after="0" w:line="240" w:lineRule="auto"/>
        <w:rPr>
          <w:rFonts w:cs="Times New Roman"/>
        </w:rPr>
      </w:pPr>
    </w:p>
    <w:p w14:paraId="49E40718" w14:textId="77777777" w:rsidR="008D1459" w:rsidRPr="008D1459" w:rsidRDefault="008D1459" w:rsidP="008D1459">
      <w:pPr>
        <w:autoSpaceDE w:val="0"/>
        <w:autoSpaceDN w:val="0"/>
        <w:adjustRightInd w:val="0"/>
        <w:spacing w:after="0" w:line="240" w:lineRule="auto"/>
        <w:rPr>
          <w:rFonts w:ascii="Calibri" w:hAnsi="Calibri" w:cs="Calibri"/>
          <w:color w:val="000000"/>
        </w:rPr>
      </w:pPr>
      <w:r w:rsidRPr="008D1459">
        <w:rPr>
          <w:rFonts w:ascii="Calibri" w:hAnsi="Calibri" w:cs="Calibri"/>
          <w:color w:val="000000"/>
        </w:rPr>
        <w:t xml:space="preserve">California-Administrative Report 82-2, (1982). </w:t>
      </w:r>
      <w:r w:rsidRPr="008D1459">
        <w:rPr>
          <w:rFonts w:ascii="Calibri" w:hAnsi="Calibri" w:cs="Calibri"/>
          <w:i/>
          <w:iCs/>
          <w:color w:val="000000"/>
        </w:rPr>
        <w:t xml:space="preserve">Monitored Aquatic Incidents during Broad Scale Aerial Application over San Francisco, Bay Area, 1981 </w:t>
      </w:r>
      <w:r w:rsidRPr="008D1459">
        <w:rPr>
          <w:rFonts w:ascii="Calibri" w:hAnsi="Calibri" w:cs="Calibri"/>
          <w:color w:val="000000"/>
        </w:rPr>
        <w:t xml:space="preserve">, Dept. Of Fish and Game, Environmental Services Branch </w:t>
      </w:r>
    </w:p>
    <w:p w14:paraId="22F87C63" w14:textId="77777777" w:rsidR="008D1459" w:rsidRPr="008D1459" w:rsidRDefault="008D1459" w:rsidP="008D1459">
      <w:pPr>
        <w:autoSpaceDE w:val="0"/>
        <w:autoSpaceDN w:val="0"/>
        <w:adjustRightInd w:val="0"/>
        <w:spacing w:after="0" w:line="240" w:lineRule="auto"/>
        <w:rPr>
          <w:rFonts w:ascii="Calibri" w:hAnsi="Calibri" w:cs="Calibri"/>
          <w:color w:val="000000"/>
          <w:sz w:val="24"/>
          <w:szCs w:val="24"/>
        </w:rPr>
      </w:pPr>
    </w:p>
    <w:p w14:paraId="574D3550" w14:textId="77777777" w:rsidR="008D1459" w:rsidRPr="008D1459" w:rsidRDefault="008D1459" w:rsidP="008D1459">
      <w:pPr>
        <w:autoSpaceDE w:val="0"/>
        <w:autoSpaceDN w:val="0"/>
        <w:adjustRightInd w:val="0"/>
        <w:spacing w:after="0" w:line="240" w:lineRule="auto"/>
        <w:rPr>
          <w:rFonts w:ascii="Calibri" w:hAnsi="Calibri" w:cs="Calibri"/>
          <w:color w:val="000000"/>
        </w:rPr>
      </w:pPr>
      <w:r w:rsidRPr="008D1459">
        <w:rPr>
          <w:rFonts w:ascii="Calibri" w:hAnsi="Calibri" w:cs="Calibri"/>
          <w:color w:val="000000"/>
        </w:rPr>
        <w:t xml:space="preserve">Duirk, S.E., and Collette, T.W. (2006) Degradation of Chlorpyrifos in Aqueous Chlorine Solutions: Pathways, Kinetics, and Modeling. </w:t>
      </w:r>
      <w:r w:rsidRPr="008D1459">
        <w:rPr>
          <w:rFonts w:ascii="Calibri" w:hAnsi="Calibri" w:cs="Calibri"/>
          <w:i/>
          <w:iCs/>
          <w:color w:val="000000"/>
        </w:rPr>
        <w:t>Environmental Science &amp; Technology</w:t>
      </w:r>
      <w:r w:rsidRPr="008D1459">
        <w:rPr>
          <w:rFonts w:ascii="Calibri" w:hAnsi="Calibri" w:cs="Calibri"/>
          <w:color w:val="000000"/>
        </w:rPr>
        <w:t xml:space="preserve">. 40:2 546-551. </w:t>
      </w:r>
    </w:p>
    <w:p w14:paraId="643A2A2A" w14:textId="77777777" w:rsidR="008D1459" w:rsidRPr="008D1459" w:rsidRDefault="008D1459" w:rsidP="008D1459">
      <w:pPr>
        <w:autoSpaceDE w:val="0"/>
        <w:autoSpaceDN w:val="0"/>
        <w:adjustRightInd w:val="0"/>
        <w:spacing w:after="0" w:line="240" w:lineRule="auto"/>
        <w:rPr>
          <w:rFonts w:ascii="Calibri" w:hAnsi="Calibri" w:cs="Calibri"/>
          <w:color w:val="000000"/>
          <w:sz w:val="24"/>
          <w:szCs w:val="24"/>
        </w:rPr>
      </w:pPr>
    </w:p>
    <w:p w14:paraId="26706ED1" w14:textId="77777777" w:rsidR="008D1459" w:rsidRPr="008D1459" w:rsidRDefault="008D1459" w:rsidP="008D1459">
      <w:pPr>
        <w:autoSpaceDE w:val="0"/>
        <w:autoSpaceDN w:val="0"/>
        <w:adjustRightInd w:val="0"/>
        <w:spacing w:after="0" w:line="240" w:lineRule="auto"/>
        <w:rPr>
          <w:rFonts w:ascii="Calibri" w:hAnsi="Calibri" w:cs="Calibri"/>
          <w:color w:val="000000"/>
        </w:rPr>
      </w:pPr>
      <w:r w:rsidRPr="008D1459">
        <w:rPr>
          <w:rFonts w:ascii="Calibri" w:hAnsi="Calibri" w:cs="Calibri"/>
          <w:color w:val="000000"/>
        </w:rPr>
        <w:t xml:space="preserve">Fellers, G. M., McConnell, L. L., Pratt, D., &amp; Datta, S. (2004). </w:t>
      </w:r>
      <w:r w:rsidRPr="008D1459">
        <w:rPr>
          <w:rFonts w:ascii="Calibri" w:hAnsi="Calibri" w:cs="Calibri"/>
          <w:i/>
          <w:iCs/>
          <w:color w:val="000000"/>
        </w:rPr>
        <w:t>Pesticides in Mountain Yellow-Legged Frogs (</w:t>
      </w:r>
      <w:r w:rsidRPr="008D1459">
        <w:rPr>
          <w:rFonts w:ascii="Calibri" w:hAnsi="Calibri" w:cs="Calibri"/>
          <w:color w:val="000000"/>
        </w:rPr>
        <w:t>Rana Mucosa</w:t>
      </w:r>
      <w:r w:rsidRPr="008D1459">
        <w:rPr>
          <w:rFonts w:ascii="Calibri" w:hAnsi="Calibri" w:cs="Calibri"/>
          <w:i/>
          <w:iCs/>
          <w:color w:val="000000"/>
        </w:rPr>
        <w:t>) from the Sierra Nevada Mountains of California</w:t>
      </w:r>
      <w:r w:rsidRPr="008D1459">
        <w:rPr>
          <w:rFonts w:ascii="Calibri" w:hAnsi="Calibri" w:cs="Calibri"/>
          <w:color w:val="000000"/>
        </w:rPr>
        <w:t xml:space="preserve">. Environmental Toxicology and Chemistry. 23(9), 2170-2177 </w:t>
      </w:r>
    </w:p>
    <w:p w14:paraId="476DCD98" w14:textId="77777777" w:rsidR="008D1459" w:rsidRDefault="008D1459" w:rsidP="00865A49">
      <w:pPr>
        <w:spacing w:after="0" w:line="240" w:lineRule="auto"/>
        <w:rPr>
          <w:rFonts w:cs="Times New Roman"/>
          <w:color w:val="000000"/>
        </w:rPr>
      </w:pPr>
    </w:p>
    <w:p w14:paraId="015B7F76" w14:textId="23B3E53B" w:rsidR="00271AB4" w:rsidRPr="00132F83" w:rsidRDefault="00271AB4" w:rsidP="00865A49">
      <w:pPr>
        <w:spacing w:after="0" w:line="240" w:lineRule="auto"/>
        <w:rPr>
          <w:rFonts w:cs="Times New Roman"/>
          <w:color w:val="000000"/>
        </w:rPr>
      </w:pPr>
      <w:r w:rsidRPr="00132F83">
        <w:rPr>
          <w:rFonts w:cs="Times New Roman"/>
          <w:color w:val="000000"/>
        </w:rPr>
        <w:t>Glotfelty, D.E., Majewski, M.S. and J.N. Seiber. 1990.  Distribution of several</w:t>
      </w:r>
      <w:r w:rsidR="00756863" w:rsidRPr="00132F83">
        <w:rPr>
          <w:rFonts w:cs="Times New Roman"/>
          <w:color w:val="000000"/>
        </w:rPr>
        <w:t xml:space="preserve"> </w:t>
      </w:r>
      <w:r w:rsidRPr="00132F83">
        <w:rPr>
          <w:rFonts w:cs="Times New Roman"/>
          <w:color w:val="000000"/>
        </w:rPr>
        <w:t>organophosphorus insecticides and their oxygen analogues in a foggy atmosphere. Environemental Science and Technology, 24 (3), 353-357.</w:t>
      </w:r>
    </w:p>
    <w:p w14:paraId="5D62C8E1" w14:textId="77777777" w:rsidR="008D1459" w:rsidRPr="008D1459" w:rsidRDefault="008D1459" w:rsidP="008D1459">
      <w:pPr>
        <w:autoSpaceDE w:val="0"/>
        <w:autoSpaceDN w:val="0"/>
        <w:adjustRightInd w:val="0"/>
        <w:spacing w:after="0" w:line="240" w:lineRule="auto"/>
        <w:rPr>
          <w:rFonts w:ascii="Calibri" w:hAnsi="Calibri" w:cs="Calibri"/>
          <w:color w:val="000000"/>
          <w:sz w:val="24"/>
          <w:szCs w:val="24"/>
        </w:rPr>
      </w:pPr>
    </w:p>
    <w:p w14:paraId="03B7E1C1" w14:textId="35CB2CBF" w:rsidR="008D1459" w:rsidRPr="008D1459" w:rsidRDefault="008D1459" w:rsidP="008D1459">
      <w:pPr>
        <w:autoSpaceDE w:val="0"/>
        <w:autoSpaceDN w:val="0"/>
        <w:adjustRightInd w:val="0"/>
        <w:spacing w:after="0" w:line="240" w:lineRule="auto"/>
        <w:rPr>
          <w:rFonts w:ascii="Calibri" w:hAnsi="Calibri" w:cs="Calibri"/>
        </w:rPr>
      </w:pPr>
      <w:r w:rsidRPr="008D1459">
        <w:rPr>
          <w:rFonts w:ascii="Calibri" w:hAnsi="Calibri" w:cs="Calibri"/>
          <w:color w:val="000000"/>
        </w:rPr>
        <w:t xml:space="preserve">LeNoir, J. S., McConnell, L. L., Fellers, G. M., Cahill, T. M., &amp; Seiber, J. N. (1999). Summertime Transport of Current-use pesticides from California’s Central </w:t>
      </w:r>
      <w:r w:rsidRPr="008D1459">
        <w:rPr>
          <w:rFonts w:ascii="Calibri" w:hAnsi="Calibri"/>
        </w:rPr>
        <w:t xml:space="preserve">Valley to the Sierra Nevada Mountain Range, USA. </w:t>
      </w:r>
      <w:r w:rsidRPr="008D1459">
        <w:rPr>
          <w:rFonts w:ascii="Calibri" w:hAnsi="Calibri" w:cs="Calibri"/>
          <w:i/>
          <w:iCs/>
        </w:rPr>
        <w:t>Environmental Toxicology and Chemistry</w:t>
      </w:r>
      <w:r w:rsidRPr="008D1459">
        <w:rPr>
          <w:rFonts w:ascii="Calibri" w:hAnsi="Calibri" w:cs="Calibri"/>
        </w:rPr>
        <w:t xml:space="preserve">, 18(12), 2715-2722. </w:t>
      </w:r>
    </w:p>
    <w:p w14:paraId="79E43BC2" w14:textId="77777777" w:rsidR="008D1459" w:rsidRPr="008D1459" w:rsidRDefault="008D1459" w:rsidP="008D1459">
      <w:pPr>
        <w:autoSpaceDE w:val="0"/>
        <w:autoSpaceDN w:val="0"/>
        <w:adjustRightInd w:val="0"/>
        <w:spacing w:after="0" w:line="240" w:lineRule="auto"/>
        <w:rPr>
          <w:rFonts w:ascii="Calibri" w:hAnsi="Calibri" w:cs="Calibri"/>
          <w:color w:val="000000"/>
          <w:sz w:val="24"/>
          <w:szCs w:val="24"/>
        </w:rPr>
      </w:pPr>
    </w:p>
    <w:p w14:paraId="43D580C8" w14:textId="77777777" w:rsidR="008D1459" w:rsidRPr="008D1459" w:rsidRDefault="008D1459" w:rsidP="008D1459">
      <w:pPr>
        <w:autoSpaceDE w:val="0"/>
        <w:autoSpaceDN w:val="0"/>
        <w:adjustRightInd w:val="0"/>
        <w:spacing w:after="0" w:line="240" w:lineRule="auto"/>
        <w:rPr>
          <w:rFonts w:ascii="Calibri" w:hAnsi="Calibri" w:cs="Calibri"/>
          <w:color w:val="000000"/>
        </w:rPr>
      </w:pPr>
      <w:r w:rsidRPr="008D1459">
        <w:rPr>
          <w:rFonts w:ascii="Calibri" w:hAnsi="Calibri" w:cs="Calibri"/>
          <w:color w:val="000000"/>
        </w:rPr>
        <w:t xml:space="preserve">Magara, Y., Aizawa, T., Matumoto, N., and Souna, F. (1994). Degradation of Pesticides by Chlorination During Water Purification. </w:t>
      </w:r>
      <w:r w:rsidRPr="008D1459">
        <w:rPr>
          <w:rFonts w:ascii="Calibri" w:hAnsi="Calibri" w:cs="Calibri"/>
          <w:i/>
          <w:iCs/>
          <w:color w:val="000000"/>
        </w:rPr>
        <w:t xml:space="preserve">Water science and technology </w:t>
      </w:r>
      <w:r w:rsidRPr="008D1459">
        <w:rPr>
          <w:rFonts w:ascii="Calibri" w:hAnsi="Calibri" w:cs="Calibri"/>
          <w:color w:val="000000"/>
        </w:rPr>
        <w:t xml:space="preserve">30: 119-128 </w:t>
      </w:r>
    </w:p>
    <w:p w14:paraId="6933E3AF" w14:textId="77777777" w:rsidR="008D1459" w:rsidRPr="00132F83" w:rsidRDefault="008D1459" w:rsidP="00865A49">
      <w:pPr>
        <w:spacing w:after="0" w:line="240" w:lineRule="auto"/>
        <w:rPr>
          <w:rFonts w:cs="Times New Roman"/>
          <w:color w:val="000000"/>
        </w:rPr>
      </w:pPr>
    </w:p>
    <w:p w14:paraId="2CA8B38A" w14:textId="5F711267" w:rsidR="00335316" w:rsidRPr="00132F83" w:rsidRDefault="00271AB4" w:rsidP="00865A49">
      <w:pPr>
        <w:spacing w:after="0" w:line="240" w:lineRule="auto"/>
        <w:jc w:val="both"/>
        <w:rPr>
          <w:rFonts w:cs="Times New Roman"/>
          <w:color w:val="000000"/>
        </w:rPr>
      </w:pPr>
      <w:r w:rsidRPr="00132F83">
        <w:rPr>
          <w:rFonts w:cs="Times New Roman"/>
          <w:color w:val="000000"/>
        </w:rPr>
        <w:t>Majewski , M.S. and P.D. Capel. 1995. Pesticides in the atmosphere: distribution, trends, and governing factors. Ann Arbor Press, Inc. Chelsea, MI.</w:t>
      </w:r>
    </w:p>
    <w:p w14:paraId="6E2A3554" w14:textId="77777777" w:rsidR="001B70E5" w:rsidRPr="00132F83" w:rsidRDefault="001B70E5" w:rsidP="00865A49">
      <w:pPr>
        <w:spacing w:after="0" w:line="240" w:lineRule="auto"/>
        <w:jc w:val="both"/>
        <w:rPr>
          <w:rFonts w:cs="Times New Roman"/>
          <w:color w:val="000000"/>
        </w:rPr>
      </w:pPr>
    </w:p>
    <w:p w14:paraId="3B30E36C" w14:textId="5C12A041" w:rsidR="00335316" w:rsidRPr="00132F83" w:rsidRDefault="00335316" w:rsidP="00865A49">
      <w:pPr>
        <w:spacing w:after="0" w:line="240" w:lineRule="auto"/>
        <w:jc w:val="both"/>
        <w:rPr>
          <w:rFonts w:cs="Times New Roman"/>
        </w:rPr>
      </w:pPr>
      <w:r w:rsidRPr="00132F83">
        <w:rPr>
          <w:rFonts w:cs="Times New Roman"/>
        </w:rPr>
        <w:t>Majewski, M.S., Zamora, C., Foreman, W.T., and C.R. Kratzer. 2006. Contribution of</w:t>
      </w:r>
      <w:r w:rsidR="00756863" w:rsidRPr="00132F83">
        <w:rPr>
          <w:rFonts w:cs="Times New Roman"/>
        </w:rPr>
        <w:t xml:space="preserve"> </w:t>
      </w:r>
      <w:r w:rsidRPr="00132F83">
        <w:rPr>
          <w:rFonts w:cs="Times New Roman"/>
        </w:rPr>
        <w:t>atmospheric deposition to pesticide loads in surface water runoff.  United States</w:t>
      </w:r>
      <w:r w:rsidR="00756863" w:rsidRPr="00132F83">
        <w:rPr>
          <w:rFonts w:cs="Times New Roman"/>
        </w:rPr>
        <w:t xml:space="preserve"> </w:t>
      </w:r>
      <w:r w:rsidRPr="00132F83">
        <w:rPr>
          <w:rFonts w:cs="Times New Roman"/>
        </w:rPr>
        <w:t xml:space="preserve">Geological Survey. Open-file Report 2005-1307. Available online at: </w:t>
      </w:r>
      <w:r w:rsidRPr="00132F83">
        <w:rPr>
          <w:rFonts w:cs="Times New Roman"/>
        </w:rPr>
        <w:tab/>
      </w:r>
      <w:hyperlink r:id="rId12" w:history="1">
        <w:r w:rsidRPr="00132F83">
          <w:rPr>
            <w:rStyle w:val="Hyperlink"/>
            <w:rFonts w:cs="Times New Roman"/>
          </w:rPr>
          <w:t>http://pubs.usgs.gov/of/2005/1307/</w:t>
        </w:r>
      </w:hyperlink>
      <w:r w:rsidRPr="00132F83">
        <w:rPr>
          <w:rFonts w:cs="Times New Roman"/>
        </w:rPr>
        <w:t>.</w:t>
      </w:r>
    </w:p>
    <w:p w14:paraId="644CBAA5" w14:textId="19DDDC93" w:rsidR="001B70E5" w:rsidRDefault="001B70E5" w:rsidP="00865A49">
      <w:pPr>
        <w:spacing w:after="0" w:line="240" w:lineRule="auto"/>
        <w:jc w:val="both"/>
        <w:rPr>
          <w:rFonts w:cs="Times New Roman"/>
        </w:rPr>
      </w:pPr>
    </w:p>
    <w:p w14:paraId="5FDED7DE" w14:textId="77777777" w:rsidR="008D1459" w:rsidRPr="008D1459" w:rsidRDefault="008D1459" w:rsidP="008D1459">
      <w:pPr>
        <w:autoSpaceDE w:val="0"/>
        <w:autoSpaceDN w:val="0"/>
        <w:adjustRightInd w:val="0"/>
        <w:spacing w:after="0" w:line="240" w:lineRule="auto"/>
        <w:rPr>
          <w:rFonts w:ascii="Calibri" w:hAnsi="Calibri" w:cs="Calibri"/>
          <w:color w:val="000000"/>
          <w:sz w:val="24"/>
          <w:szCs w:val="24"/>
        </w:rPr>
      </w:pPr>
    </w:p>
    <w:p w14:paraId="030C458E" w14:textId="77777777" w:rsidR="008D1459" w:rsidRPr="008D1459" w:rsidRDefault="008D1459" w:rsidP="008D1459">
      <w:pPr>
        <w:autoSpaceDE w:val="0"/>
        <w:autoSpaceDN w:val="0"/>
        <w:adjustRightInd w:val="0"/>
        <w:spacing w:after="0" w:line="240" w:lineRule="auto"/>
        <w:rPr>
          <w:rFonts w:ascii="Calibri" w:hAnsi="Calibri" w:cs="Calibri"/>
          <w:color w:val="000000"/>
        </w:rPr>
      </w:pPr>
      <w:r w:rsidRPr="008D1459">
        <w:rPr>
          <w:rFonts w:ascii="Calibri" w:hAnsi="Calibri" w:cs="Calibri"/>
          <w:color w:val="000000"/>
        </w:rPr>
        <w:t xml:space="preserve">Mcconnell, L. L., Lenoir, J. S., Datta, S., and Seiber, J. N. (1998). Wet Deposition of Current-Use Pesticides in the Sierra Nevada Mountain Range, California, USA. </w:t>
      </w:r>
      <w:r w:rsidRPr="008D1459">
        <w:rPr>
          <w:rFonts w:ascii="Calibri" w:hAnsi="Calibri" w:cs="Calibri"/>
          <w:i/>
          <w:iCs/>
          <w:color w:val="000000"/>
        </w:rPr>
        <w:t xml:space="preserve">Environmental Toxicology and Chemistry </w:t>
      </w:r>
      <w:r w:rsidRPr="008D1459">
        <w:rPr>
          <w:rFonts w:ascii="Calibri" w:hAnsi="Calibri" w:cs="Calibri"/>
          <w:color w:val="000000"/>
        </w:rPr>
        <w:t xml:space="preserve">17: 1908-1916 </w:t>
      </w:r>
    </w:p>
    <w:p w14:paraId="6F63A082" w14:textId="134E254F" w:rsidR="008D1459" w:rsidRDefault="008D1459" w:rsidP="00865A49">
      <w:pPr>
        <w:spacing w:after="0" w:line="240" w:lineRule="auto"/>
        <w:jc w:val="both"/>
        <w:rPr>
          <w:rFonts w:cs="Times New Roman"/>
        </w:rPr>
      </w:pPr>
    </w:p>
    <w:p w14:paraId="2021AAE6" w14:textId="5AE006C8" w:rsidR="004E687C" w:rsidRPr="00132F83" w:rsidRDefault="004E687C" w:rsidP="00865A49">
      <w:pPr>
        <w:spacing w:after="0" w:line="240" w:lineRule="auto"/>
        <w:jc w:val="both"/>
        <w:rPr>
          <w:rFonts w:cs="Times New Roman"/>
          <w:color w:val="000000"/>
        </w:rPr>
      </w:pPr>
      <w:r w:rsidRPr="00132F83">
        <w:rPr>
          <w:rFonts w:cs="Times New Roman"/>
          <w:color w:val="000000"/>
        </w:rPr>
        <w:t>Schomburg, C.J., Glotfelty, D.E., and J.N. Selber. 1991. Pesticide occurrenc</w:t>
      </w:r>
      <w:r w:rsidR="00756863" w:rsidRPr="00132F83">
        <w:rPr>
          <w:rFonts w:cs="Times New Roman"/>
          <w:color w:val="000000"/>
        </w:rPr>
        <w:t xml:space="preserve">e and distribution in </w:t>
      </w:r>
      <w:r w:rsidRPr="00132F83">
        <w:rPr>
          <w:rFonts w:cs="Times New Roman"/>
          <w:color w:val="000000"/>
        </w:rPr>
        <w:t>fog collected near Monterey, California. Environmental S</w:t>
      </w:r>
      <w:r w:rsidR="00756863" w:rsidRPr="00132F83">
        <w:rPr>
          <w:rFonts w:cs="Times New Roman"/>
          <w:color w:val="000000"/>
        </w:rPr>
        <w:t xml:space="preserve">cience and Technology, 25, </w:t>
      </w:r>
      <w:r w:rsidR="00756863" w:rsidRPr="00132F83">
        <w:rPr>
          <w:rFonts w:cs="Times New Roman"/>
          <w:color w:val="000000"/>
        </w:rPr>
        <w:tab/>
        <w:t xml:space="preserve">155 </w:t>
      </w:r>
      <w:r w:rsidRPr="00132F83">
        <w:rPr>
          <w:rFonts w:cs="Times New Roman"/>
          <w:color w:val="000000"/>
        </w:rPr>
        <w:t>160.</w:t>
      </w:r>
    </w:p>
    <w:p w14:paraId="764ECAC1" w14:textId="77777777" w:rsidR="008D1459" w:rsidRPr="008D1459" w:rsidRDefault="008D1459" w:rsidP="008D1459">
      <w:pPr>
        <w:autoSpaceDE w:val="0"/>
        <w:autoSpaceDN w:val="0"/>
        <w:adjustRightInd w:val="0"/>
        <w:spacing w:after="0" w:line="240" w:lineRule="auto"/>
        <w:rPr>
          <w:rFonts w:ascii="Calibri" w:hAnsi="Calibri" w:cs="Calibri"/>
          <w:color w:val="000000"/>
          <w:sz w:val="24"/>
          <w:szCs w:val="24"/>
        </w:rPr>
      </w:pPr>
    </w:p>
    <w:p w14:paraId="47C54061" w14:textId="77777777" w:rsidR="008D1459" w:rsidRPr="008D1459" w:rsidRDefault="008D1459" w:rsidP="008D1459">
      <w:pPr>
        <w:autoSpaceDE w:val="0"/>
        <w:autoSpaceDN w:val="0"/>
        <w:adjustRightInd w:val="0"/>
        <w:spacing w:after="0" w:line="240" w:lineRule="auto"/>
        <w:rPr>
          <w:rFonts w:ascii="Calibri" w:hAnsi="Calibri" w:cs="Calibri"/>
          <w:color w:val="000000"/>
        </w:rPr>
      </w:pPr>
      <w:r w:rsidRPr="008D1459">
        <w:rPr>
          <w:rFonts w:ascii="Calibri" w:hAnsi="Calibri" w:cs="Calibri"/>
          <w:color w:val="000000"/>
        </w:rPr>
        <w:t xml:space="preserve">Sparling, D. W., Fellers, G. M., &amp; McConnell, L. L. (2001). Pesticides and amphibian population declines in California, USA. </w:t>
      </w:r>
      <w:r w:rsidRPr="008D1459">
        <w:rPr>
          <w:rFonts w:ascii="Calibri" w:hAnsi="Calibri" w:cs="Calibri"/>
          <w:i/>
          <w:iCs/>
          <w:color w:val="000000"/>
        </w:rPr>
        <w:t>Environ. Toxicol. and Chem</w:t>
      </w:r>
      <w:r w:rsidRPr="008D1459">
        <w:rPr>
          <w:rFonts w:ascii="Calibri" w:hAnsi="Calibri" w:cs="Calibri"/>
          <w:color w:val="000000"/>
        </w:rPr>
        <w:t xml:space="preserve">., 20(7), 1591-1595 </w:t>
      </w:r>
    </w:p>
    <w:p w14:paraId="65320017" w14:textId="77777777" w:rsidR="008D1459" w:rsidRDefault="008D1459" w:rsidP="00865A49">
      <w:pPr>
        <w:spacing w:after="0" w:line="240" w:lineRule="auto"/>
        <w:jc w:val="both"/>
        <w:rPr>
          <w:rFonts w:cs="Times New Roman"/>
          <w:color w:val="000000"/>
        </w:rPr>
      </w:pPr>
    </w:p>
    <w:p w14:paraId="3FB3A8FB" w14:textId="77777777" w:rsidR="008D1459" w:rsidRPr="008D1459" w:rsidRDefault="008D1459" w:rsidP="008D1459">
      <w:pPr>
        <w:autoSpaceDE w:val="0"/>
        <w:autoSpaceDN w:val="0"/>
        <w:adjustRightInd w:val="0"/>
        <w:spacing w:after="0" w:line="240" w:lineRule="auto"/>
        <w:rPr>
          <w:rFonts w:ascii="Calibri" w:hAnsi="Calibri" w:cs="Calibri"/>
          <w:color w:val="000000"/>
        </w:rPr>
      </w:pPr>
      <w:r w:rsidRPr="008D1459">
        <w:rPr>
          <w:rFonts w:ascii="Calibri" w:hAnsi="Calibri" w:cs="Calibri"/>
          <w:color w:val="000000"/>
        </w:rPr>
        <w:t xml:space="preserve">Wu, J., and Laird, D.A. (2003) Abiotic transformation of chlorpyrifos to chlorpyrifos oxon in chlorinated water. </w:t>
      </w:r>
      <w:r w:rsidRPr="008D1459">
        <w:rPr>
          <w:rFonts w:ascii="Calibri" w:hAnsi="Calibri" w:cs="Calibri"/>
          <w:i/>
          <w:iCs/>
          <w:color w:val="000000"/>
        </w:rPr>
        <w:t xml:space="preserve">Environmental Toxicology and Chemistry </w:t>
      </w:r>
      <w:r w:rsidRPr="008D1459">
        <w:rPr>
          <w:rFonts w:ascii="Calibri" w:hAnsi="Calibri" w:cs="Calibri"/>
          <w:color w:val="000000"/>
        </w:rPr>
        <w:t xml:space="preserve">22:2 261-264 </w:t>
      </w:r>
    </w:p>
    <w:p w14:paraId="2F8DB257" w14:textId="77777777" w:rsidR="008D1459" w:rsidRPr="00132F83" w:rsidRDefault="008D1459" w:rsidP="00865A49">
      <w:pPr>
        <w:spacing w:after="0" w:line="240" w:lineRule="auto"/>
        <w:jc w:val="both"/>
        <w:rPr>
          <w:rFonts w:cs="Times New Roman"/>
          <w:color w:val="000000"/>
        </w:rPr>
      </w:pPr>
    </w:p>
    <w:p w14:paraId="5EFC6D54" w14:textId="7E64BF58" w:rsidR="00335316" w:rsidRPr="00132F83" w:rsidRDefault="009E7D0F" w:rsidP="00865A49">
      <w:pPr>
        <w:spacing w:after="0" w:line="240" w:lineRule="auto"/>
        <w:rPr>
          <w:rFonts w:cs="Times New Roman"/>
        </w:rPr>
      </w:pPr>
      <w:r w:rsidRPr="00132F83">
        <w:rPr>
          <w:rFonts w:cs="Times New Roman"/>
        </w:rPr>
        <w:t>Zabik, J.M. and J.N. Seiber. 1993. Atmospheric transport of organophosphate pesticides from California's Central Valley to the Sierra Nevada Mountains. J environ qual. 22: 80-90.</w:t>
      </w:r>
    </w:p>
    <w:sectPr w:rsidR="00335316" w:rsidRPr="00132F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18EB5" w14:textId="77777777" w:rsidR="007F28A4" w:rsidRDefault="007F28A4" w:rsidP="007145EE">
      <w:pPr>
        <w:spacing w:after="0" w:line="240" w:lineRule="auto"/>
      </w:pPr>
      <w:r>
        <w:separator/>
      </w:r>
    </w:p>
  </w:endnote>
  <w:endnote w:type="continuationSeparator" w:id="0">
    <w:p w14:paraId="4C759E92" w14:textId="77777777" w:rsidR="007F28A4" w:rsidRDefault="007F28A4" w:rsidP="0071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BDCE" w14:textId="1DF95EF6" w:rsidR="007F28A4" w:rsidRDefault="007F28A4">
    <w:pPr>
      <w:pStyle w:val="Footer"/>
      <w:jc w:val="center"/>
    </w:pPr>
    <w:r>
      <w:t xml:space="preserve">B9 (PF) - </w:t>
    </w:r>
    <w:sdt>
      <w:sdtPr>
        <w:id w:val="13627878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70A12">
          <w:rPr>
            <w:noProof/>
          </w:rPr>
          <w:t>7</w:t>
        </w:r>
        <w:r>
          <w:rPr>
            <w:noProof/>
          </w:rPr>
          <w:fldChar w:fldCharType="end"/>
        </w:r>
      </w:sdtContent>
    </w:sdt>
  </w:p>
  <w:p w14:paraId="6D62067F" w14:textId="786C64D2" w:rsidR="007F28A4" w:rsidRDefault="007F2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1C00D" w14:textId="77777777" w:rsidR="007F28A4" w:rsidRDefault="007F28A4" w:rsidP="007145EE">
      <w:pPr>
        <w:spacing w:after="0" w:line="240" w:lineRule="auto"/>
      </w:pPr>
      <w:r>
        <w:separator/>
      </w:r>
    </w:p>
  </w:footnote>
  <w:footnote w:type="continuationSeparator" w:id="0">
    <w:p w14:paraId="2C8CCAD6" w14:textId="77777777" w:rsidR="007F28A4" w:rsidRDefault="007F28A4" w:rsidP="007145EE">
      <w:pPr>
        <w:spacing w:after="0" w:line="240" w:lineRule="auto"/>
      </w:pPr>
      <w:r>
        <w:continuationSeparator/>
      </w:r>
    </w:p>
  </w:footnote>
  <w:footnote w:id="1">
    <w:p w14:paraId="2292E4FF" w14:textId="4B28A6F5" w:rsidR="007F28A4" w:rsidRPr="00D822E3" w:rsidRDefault="007F28A4">
      <w:pPr>
        <w:pStyle w:val="FootnoteText"/>
        <w:rPr>
          <w:rFonts w:asciiTheme="minorHAnsi" w:hAnsiTheme="minorHAnsi"/>
          <w:sz w:val="22"/>
          <w:szCs w:val="22"/>
        </w:rPr>
      </w:pPr>
      <w:r w:rsidRPr="00D822E3">
        <w:rPr>
          <w:rStyle w:val="FootnoteReference"/>
          <w:rFonts w:asciiTheme="minorHAnsi" w:hAnsiTheme="minorHAnsi"/>
          <w:sz w:val="22"/>
          <w:szCs w:val="22"/>
        </w:rPr>
        <w:footnoteRef/>
      </w:r>
      <w:r w:rsidRPr="00D822E3">
        <w:rPr>
          <w:rFonts w:asciiTheme="minorHAnsi" w:hAnsiTheme="minorHAnsi"/>
          <w:sz w:val="22"/>
          <w:szCs w:val="22"/>
        </w:rPr>
        <w:t xml:space="preserve"> for the HC05: SE = </w:t>
      </w:r>
      <w:r w:rsidR="00FD7440">
        <w:rPr>
          <w:rFonts w:asciiTheme="minorHAnsi" w:hAnsiTheme="minorHAnsi"/>
          <w:sz w:val="22"/>
          <w:szCs w:val="22"/>
        </w:rPr>
        <w:t>15.7</w:t>
      </w:r>
      <w:r w:rsidRPr="00D822E3">
        <w:rPr>
          <w:rFonts w:asciiTheme="minorHAnsi" w:hAnsiTheme="minorHAnsi"/>
          <w:sz w:val="22"/>
          <w:szCs w:val="22"/>
        </w:rPr>
        <w:t>, CV = 0.</w:t>
      </w:r>
      <w:r w:rsidR="00FD7440">
        <w:rPr>
          <w:rFonts w:asciiTheme="minorHAnsi" w:hAnsiTheme="minorHAnsi"/>
          <w:sz w:val="22"/>
          <w:szCs w:val="22"/>
        </w:rPr>
        <w:t>36</w:t>
      </w:r>
      <w:r w:rsidRPr="00D822E3">
        <w:rPr>
          <w:rFonts w:asciiTheme="minorHAnsi" w:hAnsiTheme="minorHAnsi"/>
          <w:sz w:val="22"/>
          <w:szCs w:val="22"/>
        </w:rPr>
        <w:t xml:space="preserve">; for the </w:t>
      </w:r>
      <w:r w:rsidR="00FD7440">
        <w:rPr>
          <w:rFonts w:asciiTheme="minorHAnsi" w:hAnsiTheme="minorHAnsi"/>
          <w:sz w:val="22"/>
          <w:szCs w:val="22"/>
        </w:rPr>
        <w:t xml:space="preserve">all aquatic vertebrate </w:t>
      </w:r>
      <w:r w:rsidRPr="00D822E3">
        <w:rPr>
          <w:rFonts w:asciiTheme="minorHAnsi" w:hAnsiTheme="minorHAnsi"/>
          <w:sz w:val="22"/>
          <w:szCs w:val="22"/>
        </w:rPr>
        <w:t>threshold, the uncertainty bound due to slope values represents an additional order of magnitude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cryptProviderType="rsaAES" w:cryptAlgorithmClass="hash" w:cryptAlgorithmType="typeAny" w:cryptAlgorithmSid="14" w:cryptSpinCount="100000" w:hash="H+EO7W+SYx2R9N/EigE45/NOe9Yt7RN/aH4rTUh3ypu5JsY4JincLy8jDjwrMAdRMFq94BlB0dyIudaQ6llRUQ==" w:salt="oO6q/lMBQyVS0gLQLUmvVA=="/>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EB"/>
    <w:rsid w:val="00007A46"/>
    <w:rsid w:val="00011EFC"/>
    <w:rsid w:val="00014ECC"/>
    <w:rsid w:val="0001589D"/>
    <w:rsid w:val="00022669"/>
    <w:rsid w:val="00023F86"/>
    <w:rsid w:val="00023FFB"/>
    <w:rsid w:val="00030F02"/>
    <w:rsid w:val="00041F8E"/>
    <w:rsid w:val="0004405A"/>
    <w:rsid w:val="00082410"/>
    <w:rsid w:val="000A5522"/>
    <w:rsid w:val="000D3413"/>
    <w:rsid w:val="000D6B36"/>
    <w:rsid w:val="000E3AFD"/>
    <w:rsid w:val="000E6085"/>
    <w:rsid w:val="00127580"/>
    <w:rsid w:val="00132F83"/>
    <w:rsid w:val="001466DD"/>
    <w:rsid w:val="0015490B"/>
    <w:rsid w:val="00180BE8"/>
    <w:rsid w:val="00185AE3"/>
    <w:rsid w:val="00194C37"/>
    <w:rsid w:val="0019524E"/>
    <w:rsid w:val="001A0991"/>
    <w:rsid w:val="001A5C6C"/>
    <w:rsid w:val="001B1E37"/>
    <w:rsid w:val="001B70E5"/>
    <w:rsid w:val="001F40AF"/>
    <w:rsid w:val="002066F3"/>
    <w:rsid w:val="00210F0F"/>
    <w:rsid w:val="0022552A"/>
    <w:rsid w:val="00230869"/>
    <w:rsid w:val="00270254"/>
    <w:rsid w:val="00271AB4"/>
    <w:rsid w:val="00277104"/>
    <w:rsid w:val="002902DF"/>
    <w:rsid w:val="00296E97"/>
    <w:rsid w:val="002A3CB5"/>
    <w:rsid w:val="002F4C3E"/>
    <w:rsid w:val="0031090E"/>
    <w:rsid w:val="00312746"/>
    <w:rsid w:val="00324EF4"/>
    <w:rsid w:val="00335316"/>
    <w:rsid w:val="00336EE1"/>
    <w:rsid w:val="00365851"/>
    <w:rsid w:val="0037632C"/>
    <w:rsid w:val="003E2722"/>
    <w:rsid w:val="003E5ED1"/>
    <w:rsid w:val="00426073"/>
    <w:rsid w:val="004B36A0"/>
    <w:rsid w:val="004C17C0"/>
    <w:rsid w:val="004E687C"/>
    <w:rsid w:val="00503613"/>
    <w:rsid w:val="00514E24"/>
    <w:rsid w:val="00520DEC"/>
    <w:rsid w:val="005451E5"/>
    <w:rsid w:val="005539F8"/>
    <w:rsid w:val="005600DF"/>
    <w:rsid w:val="0056769D"/>
    <w:rsid w:val="005D3F03"/>
    <w:rsid w:val="00605236"/>
    <w:rsid w:val="00642BC7"/>
    <w:rsid w:val="00660D2E"/>
    <w:rsid w:val="006868FB"/>
    <w:rsid w:val="006B0388"/>
    <w:rsid w:val="006C1A16"/>
    <w:rsid w:val="006C42D5"/>
    <w:rsid w:val="006C71AE"/>
    <w:rsid w:val="006C7B60"/>
    <w:rsid w:val="006F34A0"/>
    <w:rsid w:val="006F693C"/>
    <w:rsid w:val="007074AB"/>
    <w:rsid w:val="007145EE"/>
    <w:rsid w:val="00756863"/>
    <w:rsid w:val="0076385D"/>
    <w:rsid w:val="00791F61"/>
    <w:rsid w:val="007B3EEB"/>
    <w:rsid w:val="007C1081"/>
    <w:rsid w:val="007E12CE"/>
    <w:rsid w:val="007E3A43"/>
    <w:rsid w:val="007F28A4"/>
    <w:rsid w:val="00831D04"/>
    <w:rsid w:val="00850626"/>
    <w:rsid w:val="00860EC1"/>
    <w:rsid w:val="00861C0D"/>
    <w:rsid w:val="00864041"/>
    <w:rsid w:val="00865A49"/>
    <w:rsid w:val="00870A12"/>
    <w:rsid w:val="00876C1A"/>
    <w:rsid w:val="00895039"/>
    <w:rsid w:val="008A2365"/>
    <w:rsid w:val="008C12C1"/>
    <w:rsid w:val="008D1459"/>
    <w:rsid w:val="008E2DAF"/>
    <w:rsid w:val="00913AF9"/>
    <w:rsid w:val="00972878"/>
    <w:rsid w:val="009D7DC1"/>
    <w:rsid w:val="009E7D0F"/>
    <w:rsid w:val="009F317E"/>
    <w:rsid w:val="009F3BE1"/>
    <w:rsid w:val="00A11582"/>
    <w:rsid w:val="00A31B91"/>
    <w:rsid w:val="00A35DF1"/>
    <w:rsid w:val="00A40C76"/>
    <w:rsid w:val="00A44915"/>
    <w:rsid w:val="00A56233"/>
    <w:rsid w:val="00A574CF"/>
    <w:rsid w:val="00A9403F"/>
    <w:rsid w:val="00AA18F6"/>
    <w:rsid w:val="00AF0C71"/>
    <w:rsid w:val="00B1102F"/>
    <w:rsid w:val="00B27950"/>
    <w:rsid w:val="00B76FA0"/>
    <w:rsid w:val="00B83CC2"/>
    <w:rsid w:val="00B846E4"/>
    <w:rsid w:val="00BB290A"/>
    <w:rsid w:val="00BD2056"/>
    <w:rsid w:val="00BF1077"/>
    <w:rsid w:val="00BF764F"/>
    <w:rsid w:val="00C208CD"/>
    <w:rsid w:val="00C23729"/>
    <w:rsid w:val="00C246CE"/>
    <w:rsid w:val="00C24C39"/>
    <w:rsid w:val="00C50A2F"/>
    <w:rsid w:val="00C72670"/>
    <w:rsid w:val="00C751E1"/>
    <w:rsid w:val="00C931FC"/>
    <w:rsid w:val="00C96EE4"/>
    <w:rsid w:val="00C971F2"/>
    <w:rsid w:val="00CB27B9"/>
    <w:rsid w:val="00CC00E3"/>
    <w:rsid w:val="00CC1364"/>
    <w:rsid w:val="00CC7F89"/>
    <w:rsid w:val="00CE5A87"/>
    <w:rsid w:val="00D822E3"/>
    <w:rsid w:val="00D93071"/>
    <w:rsid w:val="00D93534"/>
    <w:rsid w:val="00DB5738"/>
    <w:rsid w:val="00DD6C4B"/>
    <w:rsid w:val="00E01BC4"/>
    <w:rsid w:val="00E30B1A"/>
    <w:rsid w:val="00E315A5"/>
    <w:rsid w:val="00E57093"/>
    <w:rsid w:val="00E736EB"/>
    <w:rsid w:val="00E92F41"/>
    <w:rsid w:val="00EB40BB"/>
    <w:rsid w:val="00EB6F4E"/>
    <w:rsid w:val="00F12EC2"/>
    <w:rsid w:val="00F136C1"/>
    <w:rsid w:val="00F45375"/>
    <w:rsid w:val="00F52057"/>
    <w:rsid w:val="00F54746"/>
    <w:rsid w:val="00F6303D"/>
    <w:rsid w:val="00F63933"/>
    <w:rsid w:val="00F7329C"/>
    <w:rsid w:val="00F76250"/>
    <w:rsid w:val="00F76D53"/>
    <w:rsid w:val="00F93039"/>
    <w:rsid w:val="00FA52A3"/>
    <w:rsid w:val="00FA7ED8"/>
    <w:rsid w:val="00FC7441"/>
    <w:rsid w:val="00FD7440"/>
    <w:rsid w:val="00FE406D"/>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0313"/>
  <w15:docId w15:val="{18B46441-3459-4EE8-8AF2-7F11158A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7B3EEB"/>
    <w:pPr>
      <w:spacing w:after="0" w:line="240" w:lineRule="auto"/>
    </w:pPr>
    <w:rPr>
      <w:rFonts w:ascii="Times New Roman" w:eastAsia="Times New Roman" w:hAnsi="Times New Roman" w:cs="Times New Roman"/>
      <w:b/>
      <w:bCs/>
      <w:sz w:val="20"/>
      <w:szCs w:val="20"/>
    </w:rPr>
  </w:style>
  <w:style w:type="character" w:styleId="Hyperlink">
    <w:name w:val="Hyperlink"/>
    <w:basedOn w:val="DefaultParagraphFont"/>
    <w:rsid w:val="007145EE"/>
    <w:rPr>
      <w:color w:val="0000FF"/>
      <w:u w:val="single"/>
    </w:rPr>
  </w:style>
  <w:style w:type="paragraph" w:styleId="FootnoteText">
    <w:name w:val="footnote text"/>
    <w:basedOn w:val="Normal"/>
    <w:link w:val="FootnoteTextChar"/>
    <w:semiHidden/>
    <w:rsid w:val="007145EE"/>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semiHidden/>
    <w:rsid w:val="007145EE"/>
    <w:rPr>
      <w:rFonts w:ascii="Times New Roman" w:eastAsia="Times New Roman" w:hAnsi="Times New Roman" w:cs="Times New Roman"/>
      <w:sz w:val="20"/>
      <w:szCs w:val="24"/>
    </w:rPr>
  </w:style>
  <w:style w:type="character" w:styleId="FootnoteReference">
    <w:name w:val="footnote reference"/>
    <w:basedOn w:val="DefaultParagraphFont"/>
    <w:semiHidden/>
    <w:rsid w:val="007145EE"/>
    <w:rPr>
      <w:vertAlign w:val="superscript"/>
    </w:rPr>
  </w:style>
  <w:style w:type="table" w:styleId="TableGrid">
    <w:name w:val="Table Grid"/>
    <w:basedOn w:val="TableNormal"/>
    <w:rsid w:val="00642B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rsid w:val="00EB6F4E"/>
    <w:rPr>
      <w:rFonts w:ascii="Times New Roman" w:eastAsia="Times New Roman" w:hAnsi="Times New Roman" w:cs="Times New Roman"/>
      <w:b/>
      <w:bCs/>
      <w:sz w:val="20"/>
      <w:szCs w:val="20"/>
    </w:rPr>
  </w:style>
  <w:style w:type="paragraph" w:customStyle="1" w:styleId="Default">
    <w:name w:val="Default"/>
    <w:rsid w:val="00210F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10F0F"/>
    <w:rPr>
      <w:sz w:val="16"/>
      <w:szCs w:val="16"/>
    </w:rPr>
  </w:style>
  <w:style w:type="paragraph" w:styleId="CommentText">
    <w:name w:val="annotation text"/>
    <w:basedOn w:val="Normal"/>
    <w:link w:val="CommentTextChar"/>
    <w:uiPriority w:val="99"/>
    <w:semiHidden/>
    <w:unhideWhenUsed/>
    <w:rsid w:val="00210F0F"/>
    <w:pPr>
      <w:spacing w:line="240" w:lineRule="auto"/>
    </w:pPr>
    <w:rPr>
      <w:sz w:val="20"/>
      <w:szCs w:val="20"/>
    </w:rPr>
  </w:style>
  <w:style w:type="character" w:customStyle="1" w:styleId="CommentTextChar">
    <w:name w:val="Comment Text Char"/>
    <w:basedOn w:val="DefaultParagraphFont"/>
    <w:link w:val="CommentText"/>
    <w:uiPriority w:val="99"/>
    <w:semiHidden/>
    <w:rsid w:val="00210F0F"/>
    <w:rPr>
      <w:sz w:val="20"/>
      <w:szCs w:val="20"/>
    </w:rPr>
  </w:style>
  <w:style w:type="paragraph" w:styleId="CommentSubject">
    <w:name w:val="annotation subject"/>
    <w:basedOn w:val="CommentText"/>
    <w:next w:val="CommentText"/>
    <w:link w:val="CommentSubjectChar"/>
    <w:uiPriority w:val="99"/>
    <w:semiHidden/>
    <w:unhideWhenUsed/>
    <w:rsid w:val="00210F0F"/>
    <w:rPr>
      <w:b/>
      <w:bCs/>
    </w:rPr>
  </w:style>
  <w:style w:type="character" w:customStyle="1" w:styleId="CommentSubjectChar">
    <w:name w:val="Comment Subject Char"/>
    <w:basedOn w:val="CommentTextChar"/>
    <w:link w:val="CommentSubject"/>
    <w:uiPriority w:val="99"/>
    <w:semiHidden/>
    <w:rsid w:val="00210F0F"/>
    <w:rPr>
      <w:b/>
      <w:bCs/>
      <w:sz w:val="20"/>
      <w:szCs w:val="20"/>
    </w:rPr>
  </w:style>
  <w:style w:type="paragraph" w:styleId="BalloonText">
    <w:name w:val="Balloon Text"/>
    <w:basedOn w:val="Normal"/>
    <w:link w:val="BalloonTextChar"/>
    <w:uiPriority w:val="99"/>
    <w:semiHidden/>
    <w:unhideWhenUsed/>
    <w:rsid w:val="00210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F0F"/>
    <w:rPr>
      <w:rFonts w:ascii="Segoe UI" w:hAnsi="Segoe UI" w:cs="Segoe UI"/>
      <w:sz w:val="18"/>
      <w:szCs w:val="18"/>
    </w:rPr>
  </w:style>
  <w:style w:type="paragraph" w:styleId="Header">
    <w:name w:val="header"/>
    <w:basedOn w:val="Normal"/>
    <w:link w:val="HeaderChar"/>
    <w:uiPriority w:val="99"/>
    <w:unhideWhenUsed/>
    <w:rsid w:val="00132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F83"/>
  </w:style>
  <w:style w:type="paragraph" w:styleId="Footer">
    <w:name w:val="footer"/>
    <w:basedOn w:val="Normal"/>
    <w:link w:val="FooterChar"/>
    <w:uiPriority w:val="99"/>
    <w:unhideWhenUsed/>
    <w:rsid w:val="00132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F83"/>
  </w:style>
  <w:style w:type="table" w:customStyle="1" w:styleId="TableGrid1">
    <w:name w:val="Table Grid1"/>
    <w:basedOn w:val="TableNormal"/>
    <w:next w:val="TableGrid"/>
    <w:uiPriority w:val="39"/>
    <w:rsid w:val="0001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ubs.usgs.gov/of/2005/13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B6B7-608C-4EEA-97B9-788C5DD0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2785</Words>
  <Characters>15880</Characters>
  <Application>Microsoft Office Word</Application>
  <DocSecurity>6</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Peck, Charles</dc:creator>
  <cp:lastModifiedBy>Blankinship, Amy</cp:lastModifiedBy>
  <cp:revision>5</cp:revision>
  <dcterms:created xsi:type="dcterms:W3CDTF">2015-12-02T19:29:00Z</dcterms:created>
  <dcterms:modified xsi:type="dcterms:W3CDTF">2017-01-09T15:53:00Z</dcterms:modified>
</cp:coreProperties>
</file>